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901"/>
      </w:tblGrid>
      <w:tr>
        <w:tc>
          <w:tcPr>
            <w:tcW w:type="dxa" w:w="8901"/>
            <w:shd w:fill="0D0D0D"/>
            <w:tcMar>
              <w:top w:w="260" w:type="dxa"/>
              <w:start w:w="300" w:type="dxa"/>
              <w:bottom w:w="250" w:type="dxa"/>
              <w:end w:w="300" w:type="dxa"/>
            </w:tcMar>
            <w:tcBorders>
              <w:top w:val="single" w:sz="4" w:color="0D0D0D"/>
              <w:bottom w:val="single" w:sz="20" w:color="8A3B52"/>
              <w:left w:val="single" w:sz="4" w:color="0D0D0D"/>
              <w:right w:val="single" w:sz="4" w:color="0D0D0D"/>
            </w:tcBorders>
          </w:tcPr>
          <w:p>
            <w:pPr>
              <w:widowControl/>
              <w:spacing w:after="100"/>
              <w:jc w:val="left"/>
            </w:pPr>
            <w:r>
              <w:rPr>
                <w:rFonts w:ascii="Arial" w:hAnsi="Arial"/>
                <w:b/>
                <w:color w:val="8A3B52"/>
                <w:sz w:val="20"/>
              </w:rPr>
              <w:t>HR  ✦  ПРЕМИЯ 2026</w:t>
            </w:r>
          </w:p>
          <w:p>
            <w:pPr>
              <w:widowControl/>
              <w:spacing w:after="80"/>
            </w:pPr>
            <w:r>
              <w:rPr>
                <w:rFonts w:ascii="Arial" w:hAnsi="Arial"/>
                <w:b/>
                <w:color w:val="FFFFFF"/>
                <w:sz w:val="46"/>
              </w:rPr>
              <w:t>ПОЛОЖЕНИЕ</w:t>
            </w:r>
          </w:p>
          <w:p>
            <w:pPr>
              <w:widowControl/>
              <w:spacing w:after="0"/>
            </w:pPr>
            <w:r>
              <w:rPr>
                <w:rFonts w:ascii="Arial" w:hAnsi="Arial"/>
                <w:b/>
                <w:color w:val="FFFFFF"/>
                <w:sz w:val="28"/>
              </w:rPr>
              <w:t>о Премии «Лучшие HR-департаменты»</w:t>
            </w:r>
          </w:p>
          <w:p>
            <w:pPr>
              <w:widowControl/>
              <w:spacing w:before="160" w:after="0"/>
            </w:pPr>
            <w:r>
              <w:rPr>
                <w:color w:val="999999"/>
                <w:sz w:val="19"/>
              </w:rPr>
              <w:t>Обновленная редакция  ·  2026</w:t>
            </w:r>
          </w:p>
        </w:tc>
      </w:tr>
    </w:tbl>
    <w:p>
      <w:pPr>
        <w:spacing w:after="0"/>
      </w:pPr>
    </w:p>
    <w:tbl>
      <w:tblPr>
        <w:tblStyle w:val="TableGrid"/>
        <w:tblW w:type="auto" w:w="0"/>
        <w:tblLook w:firstColumn="1" w:firstRow="1" w:lastColumn="0" w:lastRow="0" w:noHBand="0" w:noVBand="1" w:val="04A0"/>
      </w:tblPr>
      <w:tblGrid>
        <w:gridCol w:w="9496"/>
      </w:tblGrid>
      <w:tr>
        <w:tc>
          <w:tcPr>
            <w:tcW w:type="dxa" w:w="9496"/>
            <w:shd w:fill="F3E9EC"/>
            <w:tcBorders>
              <w:left w:val="single" w:sz="26" w:color="8A3B52"/>
              <w:top w:val="single" w:sz="4" w:color="F3E9EC"/>
              <w:bottom w:val="single" w:sz="4" w:color="F3E9EC"/>
              <w:right w:val="single" w:sz="4" w:color="F3E9EC"/>
            </w:tcBorders>
            <w:tcMar>
              <w:top w:w="120" w:type="dxa"/>
              <w:start w:w="150" w:type="dxa"/>
              <w:bottom w:w="120" w:type="dxa"/>
              <w:end w:w="150" w:type="dxa"/>
            </w:tcMar>
          </w:tcPr>
          <w:p>
            <w:pPr>
              <w:widowControl/>
              <w:spacing w:after="0"/>
            </w:pPr>
            <w:r>
              <w:rPr>
                <w:b/>
                <w:color w:val="8A3B52"/>
              </w:rPr>
              <w:t xml:space="preserve">Ключевые правила: </w:t>
            </w:r>
            <w:r>
              <w:t>одна организация подает одну заявку с одним проектом в одну номинацию; заявка принимается только при заполнении 100% обязательных полей; к участию допускаются внутренние HR-команды численностью не менее трех человек. Контекст и масштаб организации не дают конкурсных баллов; базовая оценка складывается из зрелости HR-функции (20 баллов) и качества проекта (80 баллов).</w:t>
            </w:r>
          </w:p>
        </w:tc>
      </w:tr>
    </w:tbl>
    <w:p>
      <w:pPr>
        <w:spacing w:after="0"/>
      </w:pPr>
    </w:p>
    <w:p>
      <w:pPr>
        <w:pStyle w:val="Heading1"/>
        <w:pBdr>
          <w:bottom w:val="single" w:sz="6" w:space="3" w:color="D9D9D9"/>
        </w:pBdr>
      </w:pPr>
      <w:r>
        <w:rPr>
          <w:b/>
          <w:color w:val="8A3B52"/>
        </w:rPr>
        <w:t xml:space="preserve">1. </w:t>
      </w:r>
      <w:r>
        <w:rPr>
          <w:b/>
          <w:color w:val="0D0D0D"/>
        </w:rPr>
        <w:t>ОСНОВНЫЕ ПОЛОЖЕНИЯ</w:t>
      </w:r>
    </w:p>
    <w:p>
      <w:pPr>
        <w:spacing w:after="84" w:line="252" w:lineRule="auto"/>
        <w:ind w:left="499" w:hanging="499"/>
      </w:pPr>
      <w:r>
        <w:rPr>
          <w:b/>
        </w:rPr>
        <w:t xml:space="preserve">1.1. </w:t>
      </w:r>
      <w:r>
        <w:t>Настоящее Положение определяет цели, условия, порядок организации и проведения Премии «Лучшие HR-департаменты», правила подачи и оценки заявок, определения победителей, публикации результатов и взаимодействия участников с Организатором.</w:t>
      </w:r>
    </w:p>
    <w:p>
      <w:pPr>
        <w:spacing w:after="84" w:line="252" w:lineRule="auto"/>
        <w:ind w:left="499" w:hanging="499"/>
      </w:pPr>
      <w:r>
        <w:rPr>
          <w:b/>
        </w:rPr>
        <w:t xml:space="preserve">1.2. </w:t>
      </w:r>
      <w:r>
        <w:t>Премия «Лучшие HR-департаменты» (далее — Премия или Конкурс) является публичным конкурсом профессиональных достижений внутренних HR-команд.</w:t>
      </w:r>
    </w:p>
    <w:p>
      <w:pPr>
        <w:spacing w:after="84" w:line="252" w:lineRule="auto"/>
        <w:ind w:left="499" w:hanging="499"/>
      </w:pPr>
      <w:r>
        <w:rPr>
          <w:b/>
        </w:rPr>
        <w:t xml:space="preserve">1.3. </w:t>
      </w:r>
      <w:r>
        <w:t>Учредители и организаторы Премии (далее совместно — Организатор) — журнал «Директор по персоналу» и Группа Актион Кадры и HR.</w:t>
      </w:r>
    </w:p>
    <w:p>
      <w:pPr>
        <w:spacing w:after="84" w:line="252" w:lineRule="auto"/>
        <w:ind w:left="499" w:hanging="499"/>
      </w:pPr>
      <w:r>
        <w:rPr>
          <w:b/>
        </w:rPr>
        <w:t xml:space="preserve">1.4. </w:t>
      </w:r>
      <w:r>
        <w:t>Официальный сайт Премии (далее — Сайт): action-hrawards.ru. На Сайте публикуются сроки конкурсного цикла, форма заявки, настоящее Положение, состав номинаций, порядок заполнения анкеты, информация о церемонии и результаты.</w:t>
      </w:r>
    </w:p>
    <w:p>
      <w:pPr>
        <w:spacing w:after="84" w:line="252" w:lineRule="auto"/>
        <w:ind w:left="499" w:hanging="499"/>
      </w:pPr>
      <w:r>
        <w:rPr>
          <w:b/>
        </w:rPr>
        <w:t xml:space="preserve">1.5. </w:t>
      </w:r>
      <w:r>
        <w:t>Участие в Премии бесплатное. Участники самостоятельно несут расходы, связанные с подготовкой материалов, проездом, проживанием и участием дополнительных представителей в церемонии, если иное прямо не объявлено Организатором.</w:t>
      </w:r>
    </w:p>
    <w:p>
      <w:pPr>
        <w:spacing w:after="84" w:line="252" w:lineRule="auto"/>
        <w:ind w:left="499" w:hanging="499"/>
      </w:pPr>
      <w:r>
        <w:rPr>
          <w:b/>
        </w:rPr>
        <w:t xml:space="preserve">1.6. </w:t>
      </w:r>
      <w:r>
        <w:t>Подача заявки означает, что заявитель ознакомился с настоящим Положением, принимает его условия, подтверждает полномочия действовать от имени организации и достоверность представленных сведений.</w:t>
      </w:r>
    </w:p>
    <w:p>
      <w:pPr>
        <w:pStyle w:val="Heading1"/>
        <w:pBdr>
          <w:bottom w:val="single" w:sz="6" w:space="3" w:color="D9D9D9"/>
        </w:pBdr>
      </w:pPr>
      <w:r>
        <w:rPr>
          <w:b/>
          <w:color w:val="8A3B52"/>
        </w:rPr>
        <w:t xml:space="preserve">2. </w:t>
      </w:r>
      <w:r>
        <w:rPr>
          <w:b/>
          <w:color w:val="0D0D0D"/>
        </w:rPr>
        <w:t>ЦЕЛИ И ЗАДАЧИ ПРЕМИИ</w:t>
      </w:r>
    </w:p>
    <w:p>
      <w:pPr>
        <w:spacing w:after="84" w:line="252" w:lineRule="auto"/>
        <w:ind w:left="499" w:hanging="499"/>
      </w:pPr>
      <w:r>
        <w:rPr>
          <w:b/>
        </w:rPr>
        <w:t xml:space="preserve">2.1. </w:t>
      </w:r>
      <w:r>
        <w:t>Цель Премии — выявлять и публично признавать сильные внутренние HR-команды и практики управления персоналом, которые дают подтвержденный результат для сотрудников и бизнеса.</w:t>
      </w:r>
    </w:p>
    <w:p>
      <w:pPr>
        <w:spacing w:after="84" w:line="252" w:lineRule="auto"/>
        <w:ind w:left="499" w:hanging="499"/>
      </w:pPr>
      <w:r>
        <w:rPr>
          <w:b/>
        </w:rPr>
        <w:t xml:space="preserve">2.2. </w:t>
      </w:r>
      <w:r>
        <w:t>Задачи Премии:</w:t>
      </w:r>
    </w:p>
    <w:p>
      <w:pPr>
        <w:spacing w:after="50"/>
        <w:ind w:left="652" w:hanging="238"/>
      </w:pPr>
      <w:r>
        <w:rPr>
          <w:b/>
        </w:rPr>
        <w:t xml:space="preserve">— </w:t>
      </w:r>
      <w:r>
        <w:t>повышать профессиональный статус HR-функции и показывать ее вклад в результаты организации;</w:t>
      </w:r>
    </w:p>
    <w:p>
      <w:pPr>
        <w:spacing w:after="50"/>
        <w:ind w:left="652" w:hanging="238"/>
      </w:pPr>
      <w:r>
        <w:rPr>
          <w:b/>
        </w:rPr>
        <w:t xml:space="preserve">— </w:t>
      </w:r>
      <w:r>
        <w:t>выявлять и распространять воспроизводимые HR-практики;</w:t>
      </w:r>
    </w:p>
    <w:p>
      <w:pPr>
        <w:spacing w:after="50"/>
        <w:ind w:left="652" w:hanging="238"/>
      </w:pPr>
      <w:r>
        <w:rPr>
          <w:b/>
        </w:rPr>
        <w:t xml:space="preserve">— </w:t>
      </w:r>
      <w:r>
        <w:t>формировать сопоставимые стандарты оценки HR-проектов и зрелости HR-функции;</w:t>
      </w:r>
    </w:p>
    <w:p>
      <w:pPr>
        <w:spacing w:after="50"/>
        <w:ind w:left="652" w:hanging="238"/>
      </w:pPr>
      <w:r>
        <w:rPr>
          <w:b/>
        </w:rPr>
        <w:t xml:space="preserve">— </w:t>
      </w:r>
      <w:r>
        <w:t>поддерживать обмен опытом и развитие профессионального сообщества;</w:t>
      </w:r>
    </w:p>
    <w:p>
      <w:pPr>
        <w:spacing w:after="50"/>
        <w:ind w:left="652" w:hanging="238"/>
      </w:pPr>
      <w:r>
        <w:rPr>
          <w:b/>
        </w:rPr>
        <w:t xml:space="preserve">— </w:t>
      </w:r>
      <w:r>
        <w:t>поощрять ответственное использование данных, цифровых решений и искусственного интеллекта в HR.</w:t>
      </w:r>
    </w:p>
    <w:p>
      <w:pPr>
        <w:pStyle w:val="Heading1"/>
        <w:pBdr>
          <w:bottom w:val="single" w:sz="6" w:space="3" w:color="D9D9D9"/>
        </w:pBdr>
      </w:pPr>
      <w:r>
        <w:rPr>
          <w:b/>
          <w:color w:val="8A3B52"/>
        </w:rPr>
        <w:t xml:space="preserve">3. </w:t>
      </w:r>
      <w:r>
        <w:rPr>
          <w:b/>
          <w:color w:val="0D0D0D"/>
        </w:rPr>
        <w:t>ТЕРМИНЫ</w:t>
      </w:r>
    </w:p>
    <w:tbl>
      <w:tblPr>
        <w:tblStyle w:val="TableGrid"/>
        <w:tblW w:type="auto" w:w="0"/>
        <w:jc w:val="center"/>
        <w:tblLayout w:type="fixed"/>
        <w:tblLook w:firstColumn="1" w:firstRow="1" w:lastColumn="0" w:lastRow="0" w:noHBand="0" w:noVBand="1" w:val="04A0"/>
      </w:tblPr>
      <w:tblGrid>
        <w:gridCol w:w="2268"/>
        <w:gridCol w:w="6633"/>
      </w:tblGrid>
      <w:tr>
        <w:trPr>
          <w:tblHeader w:val="true"/>
          <w:cantSplit/>
        </w:trPr>
        <w:tc>
          <w:tcPr>
            <w:tcW w:type="dxa" w:w="2268"/>
            <w:vAlign w:val="center"/>
            <w:shd w:fill="0D0D0D"/>
            <w:tcMar>
              <w:top w:w="90" w:type="dxa"/>
              <w:start w:w="100" w:type="dxa"/>
              <w:bottom w:w="90" w:type="dxa"/>
              <w:end w:w="100" w:type="dxa"/>
            </w:tcMar>
          </w:tcPr>
          <w:p>
            <w:pPr>
              <w:widowControl/>
              <w:spacing w:after="0"/>
              <w:jc w:val="center"/>
            </w:pPr>
            <w:r>
              <w:rPr>
                <w:rFonts w:ascii="Arial" w:hAnsi="Arial"/>
                <w:b/>
                <w:color w:val="FFFFFF"/>
                <w:sz w:val="18"/>
              </w:rPr>
              <w:t>Термин</w:t>
            </w:r>
          </w:p>
        </w:tc>
        <w:tc>
          <w:tcPr>
            <w:tcW w:type="dxa" w:w="6633"/>
            <w:vAlign w:val="center"/>
            <w:shd w:fill="0D0D0D"/>
            <w:tcMar>
              <w:top w:w="90" w:type="dxa"/>
              <w:start w:w="100" w:type="dxa"/>
              <w:bottom w:w="90" w:type="dxa"/>
              <w:end w:w="100" w:type="dxa"/>
            </w:tcMar>
          </w:tcPr>
          <w:p>
            <w:pPr>
              <w:widowControl/>
              <w:spacing w:after="0"/>
              <w:jc w:val="center"/>
            </w:pPr>
            <w:r>
              <w:rPr>
                <w:rFonts w:ascii="Arial" w:hAnsi="Arial"/>
                <w:b/>
                <w:color w:val="FFFFFF"/>
                <w:sz w:val="18"/>
              </w:rPr>
              <w:t>Значение</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8"/>
              </w:rPr>
              <w:t>Участник</w:t>
            </w:r>
          </w:p>
        </w:tc>
        <w:tc>
          <w:tcPr>
            <w:tcW w:type="dxa" w:w="6633"/>
            <w:vAlign w:val="top"/>
            <w:tcMar>
              <w:top w:w="90" w:type="dxa"/>
              <w:start w:w="100" w:type="dxa"/>
              <w:bottom w:w="90" w:type="dxa"/>
              <w:end w:w="100" w:type="dxa"/>
            </w:tcMar>
            <w:shd w:fill="F7F7F7"/>
          </w:tcPr>
          <w:p>
            <w:pPr>
              <w:widowControl/>
              <w:spacing w:after="0" w:line="240" w:lineRule="auto"/>
            </w:pPr>
            <w:r>
              <w:rPr>
                <w:rFonts w:ascii="Arial" w:hAnsi="Arial"/>
                <w:sz w:val="18"/>
              </w:rPr>
              <w:t>организация, подавшая заявку и допущенная Организационным комитетом к заполнению конкурсной анкеты</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8"/>
              </w:rPr>
              <w:t>Номинант</w:t>
            </w:r>
          </w:p>
        </w:tc>
        <w:tc>
          <w:tcPr>
            <w:tcW w:type="dxa" w:w="6633"/>
            <w:vAlign w:val="top"/>
            <w:tcMar>
              <w:top w:w="90" w:type="dxa"/>
              <w:start w:w="100" w:type="dxa"/>
              <w:bottom w:w="90" w:type="dxa"/>
              <w:end w:w="100" w:type="dxa"/>
            </w:tcMar>
            <w:shd w:fill="F3E9EC"/>
          </w:tcPr>
          <w:p>
            <w:pPr>
              <w:widowControl/>
              <w:spacing w:after="0" w:line="240" w:lineRule="auto"/>
            </w:pPr>
            <w:r>
              <w:rPr>
                <w:rFonts w:ascii="Arial" w:hAnsi="Arial"/>
                <w:sz w:val="18"/>
              </w:rPr>
              <w:t>Участник, который в срок представил заполненную анкету и допущен к экспертной оценке</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8"/>
              </w:rPr>
              <w:t>HR-команда</w:t>
            </w:r>
          </w:p>
        </w:tc>
        <w:tc>
          <w:tcPr>
            <w:tcW w:type="dxa" w:w="6633"/>
            <w:vAlign w:val="top"/>
            <w:tcMar>
              <w:top w:w="90" w:type="dxa"/>
              <w:start w:w="100" w:type="dxa"/>
              <w:bottom w:w="90" w:type="dxa"/>
              <w:end w:w="100" w:type="dxa"/>
            </w:tcMar>
            <w:shd w:fill="F7F7F7"/>
          </w:tcPr>
          <w:p>
            <w:pPr>
              <w:widowControl/>
              <w:spacing w:after="0" w:line="240" w:lineRule="auto"/>
            </w:pPr>
            <w:r>
              <w:rPr>
                <w:rFonts w:ascii="Arial" w:hAnsi="Arial"/>
                <w:sz w:val="18"/>
              </w:rPr>
              <w:t>внутренний HR-департамент, служба, дирекция либо совокупность штатных работников организации, для которых управление персоналом является основной трудовой функцией</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8"/>
              </w:rPr>
              <w:t>Проект</w:t>
            </w:r>
          </w:p>
        </w:tc>
        <w:tc>
          <w:tcPr>
            <w:tcW w:type="dxa" w:w="6633"/>
            <w:vAlign w:val="top"/>
            <w:tcMar>
              <w:top w:w="90" w:type="dxa"/>
              <w:start w:w="100" w:type="dxa"/>
              <w:bottom w:w="90" w:type="dxa"/>
              <w:end w:w="100" w:type="dxa"/>
            </w:tcMar>
            <w:shd w:fill="F3E9EC"/>
          </w:tcPr>
          <w:p>
            <w:pPr>
              <w:widowControl/>
              <w:spacing w:after="0" w:line="240" w:lineRule="auto"/>
            </w:pPr>
            <w:r>
              <w:rPr>
                <w:rFonts w:ascii="Arial" w:hAnsi="Arial"/>
                <w:sz w:val="18"/>
              </w:rPr>
              <w:t>завершенная или продолжающаяся инициатива либо постоянная HR-практика с определимой задачей, механикой, периодом реализации и измеримыми результатами</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8"/>
              </w:rPr>
              <w:t>Эксперт</w:t>
            </w:r>
          </w:p>
        </w:tc>
        <w:tc>
          <w:tcPr>
            <w:tcW w:type="dxa" w:w="6633"/>
            <w:vAlign w:val="top"/>
            <w:tcMar>
              <w:top w:w="90" w:type="dxa"/>
              <w:start w:w="100" w:type="dxa"/>
              <w:bottom w:w="90" w:type="dxa"/>
              <w:end w:w="100" w:type="dxa"/>
            </w:tcMar>
            <w:shd w:fill="F7F7F7"/>
          </w:tcPr>
          <w:p>
            <w:pPr>
              <w:widowControl/>
              <w:spacing w:after="0" w:line="240" w:lineRule="auto"/>
            </w:pPr>
            <w:r>
              <w:rPr>
                <w:rFonts w:ascii="Arial" w:hAnsi="Arial"/>
                <w:sz w:val="18"/>
              </w:rPr>
              <w:t>член Экспертного совета, оценивающий обезличенные анкеты в пределах назначенных номинаций</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8"/>
              </w:rPr>
              <w:t>Конкурсный цикл</w:t>
            </w:r>
          </w:p>
        </w:tc>
        <w:tc>
          <w:tcPr>
            <w:tcW w:type="dxa" w:w="6633"/>
            <w:vAlign w:val="top"/>
            <w:tcMar>
              <w:top w:w="90" w:type="dxa"/>
              <w:start w:w="100" w:type="dxa"/>
              <w:bottom w:w="90" w:type="dxa"/>
              <w:end w:w="100" w:type="dxa"/>
            </w:tcMar>
            <w:shd w:fill="F3E9EC"/>
          </w:tcPr>
          <w:p>
            <w:pPr>
              <w:widowControl/>
              <w:spacing w:after="0" w:line="240" w:lineRule="auto"/>
            </w:pPr>
            <w:r>
              <w:rPr>
                <w:rFonts w:ascii="Arial" w:hAnsi="Arial"/>
                <w:sz w:val="18"/>
              </w:rPr>
              <w:t>совокупность этапов Премии от начала приема заявок до публикации итогов и награждения</w:t>
            </w:r>
          </w:p>
        </w:tc>
      </w:tr>
    </w:tbl>
    <w:p>
      <w:pPr>
        <w:spacing w:after="0"/>
      </w:pPr>
    </w:p>
    <w:p>
      <w:pPr>
        <w:pStyle w:val="Heading1"/>
        <w:pBdr>
          <w:bottom w:val="single" w:sz="6" w:space="3" w:color="D9D9D9"/>
        </w:pBdr>
      </w:pPr>
      <w:r>
        <w:rPr>
          <w:b/>
          <w:color w:val="8A3B52"/>
        </w:rPr>
        <w:t xml:space="preserve">4. </w:t>
      </w:r>
      <w:r>
        <w:rPr>
          <w:b/>
          <w:color w:val="0D0D0D"/>
        </w:rPr>
        <w:t>ОРГАНИЗАЦИОННЫЙ КОМИТЕТ</w:t>
      </w:r>
    </w:p>
    <w:p>
      <w:pPr>
        <w:spacing w:after="84" w:line="252" w:lineRule="auto"/>
        <w:ind w:left="499" w:hanging="499"/>
      </w:pPr>
      <w:r>
        <w:rPr>
          <w:b/>
        </w:rPr>
        <w:t xml:space="preserve">4.1. </w:t>
      </w:r>
      <w:r>
        <w:t>Для подготовки и проведения Премии Организатор формирует Организационный комитет и назначает его Председателя.</w:t>
      </w:r>
    </w:p>
    <w:p>
      <w:pPr>
        <w:spacing w:after="84" w:line="252" w:lineRule="auto"/>
        <w:ind w:left="499" w:hanging="499"/>
      </w:pPr>
      <w:r>
        <w:rPr>
          <w:b/>
        </w:rPr>
        <w:t xml:space="preserve">4.2. </w:t>
      </w:r>
      <w:r>
        <w:t>Организационный комитет:</w:t>
      </w:r>
    </w:p>
    <w:p>
      <w:pPr>
        <w:spacing w:after="50"/>
        <w:ind w:left="652" w:hanging="238"/>
      </w:pPr>
      <w:r>
        <w:rPr>
          <w:b/>
        </w:rPr>
        <w:t xml:space="preserve">— </w:t>
      </w:r>
      <w:r>
        <w:t>публикует правила и календарь конкурсного цикла;</w:t>
      </w:r>
    </w:p>
    <w:p>
      <w:pPr>
        <w:spacing w:after="50"/>
        <w:ind w:left="652" w:hanging="238"/>
      </w:pPr>
      <w:r>
        <w:rPr>
          <w:b/>
        </w:rPr>
        <w:t xml:space="preserve">— </w:t>
      </w:r>
      <w:r>
        <w:t>принимает и проверяет заявки, подтверждает соответствие требованиям допуска;</w:t>
      </w:r>
    </w:p>
    <w:p>
      <w:pPr>
        <w:spacing w:after="50"/>
        <w:ind w:left="652" w:hanging="238"/>
      </w:pPr>
      <w:r>
        <w:rPr>
          <w:b/>
        </w:rPr>
        <w:t xml:space="preserve">— </w:t>
      </w:r>
      <w:r>
        <w:t>предоставляет доступ к анкете и консультирует по организационным вопросам;</w:t>
      </w:r>
    </w:p>
    <w:p>
      <w:pPr>
        <w:spacing w:after="50"/>
        <w:ind w:left="652" w:hanging="238"/>
      </w:pPr>
      <w:r>
        <w:rPr>
          <w:b/>
        </w:rPr>
        <w:t xml:space="preserve">— </w:t>
      </w:r>
      <w:r>
        <w:t>обеспечивает обезличивание конкурсных материалов и работу системы оценки;</w:t>
      </w:r>
    </w:p>
    <w:p>
      <w:pPr>
        <w:spacing w:after="50"/>
        <w:ind w:left="652" w:hanging="238"/>
      </w:pPr>
      <w:r>
        <w:rPr>
          <w:b/>
        </w:rPr>
        <w:t xml:space="preserve">— </w:t>
      </w:r>
      <w:r>
        <w:t>формирует Экспертный совет, распределяет анкеты и контролирует соблюдение сроков;</w:t>
      </w:r>
    </w:p>
    <w:p>
      <w:pPr>
        <w:spacing w:after="50"/>
        <w:ind w:left="652" w:hanging="238"/>
      </w:pPr>
      <w:r>
        <w:rPr>
          <w:b/>
        </w:rPr>
        <w:t xml:space="preserve">— </w:t>
      </w:r>
      <w:r>
        <w:t>фиксирует результаты подсчета, организует награждение и публикацию итогов;</w:t>
      </w:r>
    </w:p>
    <w:p>
      <w:pPr>
        <w:spacing w:after="50"/>
        <w:ind w:left="652" w:hanging="238"/>
      </w:pPr>
      <w:r>
        <w:rPr>
          <w:b/>
        </w:rPr>
        <w:t xml:space="preserve">— </w:t>
      </w:r>
      <w:r>
        <w:t>рассматривает заявления о технических, арифметических и процедурных ошибках;</w:t>
      </w:r>
    </w:p>
    <w:p>
      <w:pPr>
        <w:spacing w:after="50"/>
        <w:ind w:left="652" w:hanging="238"/>
      </w:pPr>
      <w:r>
        <w:rPr>
          <w:b/>
        </w:rPr>
        <w:t xml:space="preserve">— </w:t>
      </w:r>
      <w:r>
        <w:t>принимает решения по вопросам, прямо не урегулированным Положением, не меняя после начала оценки критерии и правила определения победителей.</w:t>
      </w:r>
    </w:p>
    <w:p>
      <w:pPr>
        <w:spacing w:after="84" w:line="252" w:lineRule="auto"/>
        <w:ind w:left="499" w:hanging="499"/>
      </w:pPr>
      <w:r>
        <w:rPr>
          <w:b/>
        </w:rPr>
        <w:t xml:space="preserve">4.3. </w:t>
      </w:r>
      <w:r>
        <w:t>Организационный комитет вправе запросить у заявителя пояснения и подтверждающие документы, необходимые для проверки допуска и достоверности данных. Запрос не должен требовать раскрытия персональных данных работников или коммерческой тайны сверх необходимого объема.</w:t>
      </w:r>
    </w:p>
    <w:p>
      <w:pPr>
        <w:spacing w:after="84" w:line="252" w:lineRule="auto"/>
        <w:ind w:left="499" w:hanging="499"/>
      </w:pPr>
      <w:r>
        <w:rPr>
          <w:b/>
        </w:rPr>
        <w:t xml:space="preserve">4.4. </w:t>
      </w:r>
      <w:r>
        <w:t>Председатель утверждает состав Экспертного совета, распределение экспертов, протокол результатов и решения о допуске, отклонении или исключении участника в случаях, предусмотренных Положением.</w:t>
      </w:r>
    </w:p>
    <w:p>
      <w:pPr>
        <w:pStyle w:val="Heading1"/>
        <w:pBdr>
          <w:bottom w:val="single" w:sz="6" w:space="3" w:color="D9D9D9"/>
        </w:pBdr>
      </w:pPr>
      <w:r>
        <w:rPr>
          <w:b/>
          <w:color w:val="8A3B52"/>
        </w:rPr>
        <w:t xml:space="preserve">5. </w:t>
      </w:r>
      <w:r>
        <w:rPr>
          <w:b/>
          <w:color w:val="0D0D0D"/>
        </w:rPr>
        <w:t>ЭКСПЕРТНЫЙ СОВЕТ</w:t>
      </w:r>
    </w:p>
    <w:p>
      <w:pPr>
        <w:spacing w:after="84" w:line="252" w:lineRule="auto"/>
        <w:ind w:left="499" w:hanging="499"/>
      </w:pPr>
      <w:r>
        <w:rPr>
          <w:b/>
        </w:rPr>
        <w:t xml:space="preserve">5.1. </w:t>
      </w:r>
      <w:r>
        <w:t>В Экспертный совет могут входить руководители HR-команд — победителей прошлых лет, независимые специалисты в сфере HR, представители бизнеса, науки, образования, органов власти, общественных организаций, СМИ, партнеров Премии и Организатора.</w:t>
      </w:r>
    </w:p>
    <w:p>
      <w:pPr>
        <w:spacing w:after="84" w:line="252" w:lineRule="auto"/>
        <w:ind w:left="499" w:hanging="499"/>
      </w:pPr>
      <w:r>
        <w:rPr>
          <w:b/>
        </w:rPr>
        <w:t xml:space="preserve">5.2. </w:t>
      </w:r>
      <w:r>
        <w:t>Запрет на участие консалтинговых компаний в общем конкурсе не препятствует привлечению их представителей в качестве экспертов при соблюдении требований независимости и конфиденциальности.</w:t>
      </w:r>
    </w:p>
    <w:p>
      <w:pPr>
        <w:spacing w:after="84" w:line="252" w:lineRule="auto"/>
        <w:ind w:left="499" w:hanging="499"/>
      </w:pPr>
      <w:r>
        <w:rPr>
          <w:b/>
        </w:rPr>
        <w:t xml:space="preserve">5.3. </w:t>
      </w:r>
      <w:r>
        <w:t>Эксперт оценивает только назначенные ему обезличенные анкеты, применяет единую шкалу и не вправе изменять критерии, веса или результаты автоматического расчета.</w:t>
      </w:r>
    </w:p>
    <w:p>
      <w:pPr>
        <w:spacing w:after="84" w:line="252" w:lineRule="auto"/>
        <w:ind w:left="499" w:hanging="499"/>
      </w:pPr>
      <w:r>
        <w:rPr>
          <w:b/>
        </w:rPr>
        <w:t xml:space="preserve">5.4. </w:t>
      </w:r>
      <w:r>
        <w:t>Эксперт обязан сообщить Организационному комитету о конфликте интересов и не оценивать соответствующую анкету. Конфликтом интересов, в частности, считается работа в организации Номинанта, участие в заявленном проекте, наличие прямой подчиненности либо существенных договорных отношений с Номинантом или подрядчиком проекта в течение последних 12 месяцев.</w:t>
      </w:r>
    </w:p>
    <w:p>
      <w:pPr>
        <w:spacing w:after="84" w:line="252" w:lineRule="auto"/>
        <w:ind w:left="499" w:hanging="499"/>
      </w:pPr>
      <w:r>
        <w:rPr>
          <w:b/>
        </w:rPr>
        <w:t xml:space="preserve">5.5. </w:t>
      </w:r>
      <w:r>
        <w:t>Эксперт не вправе раскрывать сведения из анкет и подтверждающих материалов, использовать их вне задач Премии либо предпринимать попытки установить Номинанта по косвенным признакам.</w:t>
      </w:r>
    </w:p>
    <w:p>
      <w:pPr>
        <w:spacing w:after="84" w:line="252" w:lineRule="auto"/>
        <w:ind w:left="499" w:hanging="499"/>
      </w:pPr>
      <w:r>
        <w:rPr>
          <w:b/>
        </w:rPr>
        <w:t xml:space="preserve">5.6. </w:t>
      </w:r>
      <w:r>
        <w:t>Оценка, не завершенная в установленный срок, не учитывается. Организационный комитет вправе назначить анкету другому эксперту для обеспечения сопоставимого количества оценок.</w:t>
      </w:r>
    </w:p>
    <w:p>
      <w:pPr>
        <w:pStyle w:val="Heading1"/>
        <w:pBdr>
          <w:bottom w:val="single" w:sz="6" w:space="3" w:color="D9D9D9"/>
        </w:pBdr>
      </w:pPr>
      <w:r>
        <w:rPr>
          <w:b/>
          <w:color w:val="8A3B52"/>
        </w:rPr>
        <w:t xml:space="preserve">6. </w:t>
      </w:r>
      <w:r>
        <w:rPr>
          <w:b/>
          <w:color w:val="0D0D0D"/>
        </w:rPr>
        <w:t>ТРЕБОВАНИЯ К УЧАСТНИКАМ</w:t>
      </w:r>
    </w:p>
    <w:p>
      <w:pPr>
        <w:spacing w:after="84" w:line="252" w:lineRule="auto"/>
        <w:ind w:left="499" w:hanging="499"/>
      </w:pPr>
      <w:r>
        <w:rPr>
          <w:b/>
        </w:rPr>
        <w:t xml:space="preserve">6.1. </w:t>
      </w:r>
      <w:r>
        <w:t>В общем порядке участвуют организации, осуществляющие деятельность в Российской Федерации и имеющие собственную внутреннюю HR-функцию. Форма собственности, организационно-правовая форма, выручка, численность работников и география деятельности не влияют на количество конкурсных баллов.</w:t>
      </w:r>
    </w:p>
    <w:p>
      <w:pPr>
        <w:spacing w:after="84" w:line="252" w:lineRule="auto"/>
        <w:ind w:left="499" w:hanging="499"/>
      </w:pPr>
      <w:r>
        <w:rPr>
          <w:b/>
        </w:rPr>
        <w:t xml:space="preserve">6.2. </w:t>
      </w:r>
      <w:r>
        <w:rPr>
          <w:b/>
        </w:rPr>
        <w:t>Численность HR-команды Участника на дату подачи заявки должна составлять не менее трех человек.</w:t>
      </w:r>
      <w:r/>
    </w:p>
    <w:p>
      <w:pPr>
        <w:spacing w:after="84" w:line="252" w:lineRule="auto"/>
        <w:ind w:left="499" w:hanging="499"/>
      </w:pPr>
      <w:r>
        <w:rPr>
          <w:b/>
        </w:rPr>
        <w:t xml:space="preserve">6.3. </w:t>
      </w:r>
      <w:r>
        <w:t>Для проверки условия пункта 6.2 учитываются штатные работники организации и ее заявленных обособленных подразделений, для которых HR-функции являются основными должностными обязанностями. Внешние консультанты, работники подрядчиков и специалисты, привлеченные по договорам оказания услуг, в эту численность не включаются.</w:t>
      </w:r>
    </w:p>
    <w:p>
      <w:pPr>
        <w:spacing w:after="84" w:line="252" w:lineRule="auto"/>
        <w:ind w:left="499" w:hanging="499"/>
      </w:pPr>
      <w:r>
        <w:rPr>
          <w:b/>
        </w:rPr>
        <w:t xml:space="preserve">6.4. </w:t>
      </w:r>
      <w:r>
        <w:rPr>
          <w:b/>
        </w:rPr>
        <w:t>Консалтинговые компании не могут участвовать в общем конкурсе и претендовать на победу в основных номинациях.</w:t>
      </w:r>
      <w:r/>
    </w:p>
    <w:p>
      <w:pPr>
        <w:spacing w:after="84" w:line="252" w:lineRule="auto"/>
        <w:ind w:left="499" w:hanging="499"/>
      </w:pPr>
      <w:r>
        <w:rPr>
          <w:b/>
        </w:rPr>
        <w:t xml:space="preserve">6.5. </w:t>
      </w:r>
      <w:r>
        <w:t>Для целей пункта 6.4 консалтинговой считается организация, основной деятельностью или бизнес-моделью которой является оказание консультационных услуг внешним заказчикам, включая HR-консалтинг, подбор персонала для клиентов, кадровый аутсорсинг и иные профессиональные консультационные услуги.</w:t>
      </w:r>
    </w:p>
    <w:p>
      <w:pPr>
        <w:spacing w:after="84" w:line="252" w:lineRule="auto"/>
        <w:ind w:left="499" w:hanging="499"/>
      </w:pPr>
      <w:r>
        <w:rPr>
          <w:b/>
        </w:rPr>
        <w:t xml:space="preserve">6.6. </w:t>
      </w:r>
      <w:r>
        <w:t>Организатор вправе проводить для консалтинговых компаний отдельные специальные проекты или номинации по отдельно опубликованным правилам. Их результаты не включаются в общий рейтинг и не дают права на звание победителя основных номинаций.</w:t>
      </w:r>
    </w:p>
    <w:p>
      <w:pPr>
        <w:spacing w:after="84" w:line="252" w:lineRule="auto"/>
        <w:ind w:left="499" w:hanging="499"/>
      </w:pPr>
      <w:r>
        <w:rPr>
          <w:b/>
        </w:rPr>
        <w:t xml:space="preserve">6.7. </w:t>
      </w:r>
      <w:r>
        <w:t>Заявленный проект должен быть реализован внутри организации Участника и отражать работу ее HR-команды. Проекты, выполненные для внешнего клиента в качестве консультационной, подрядной или аутсорсинговой услуги, к участию не допускаются.</w:t>
      </w:r>
    </w:p>
    <w:p>
      <w:pPr>
        <w:spacing w:after="84" w:line="252" w:lineRule="auto"/>
        <w:ind w:left="499" w:hanging="499"/>
      </w:pPr>
      <w:r>
        <w:rPr>
          <w:b/>
        </w:rPr>
        <w:t xml:space="preserve">6.8. </w:t>
      </w:r>
      <w:r>
        <w:t>Если заявка подается от группы компаний или централизованной HR-функции, заявитель указывает организационный контур, к которому относятся HR-команда, целевая аудитория, ресурсы и результаты проекта. Одни и те же результаты нельзя одновременно приписывать нескольким Участникам. Для целей ограничений пунктов 7.2 и 7.3 указанный в заявке организационный контур считается одной организацией.</w:t>
      </w:r>
    </w:p>
    <w:p>
      <w:pPr>
        <w:spacing w:after="84" w:line="252" w:lineRule="auto"/>
        <w:ind w:left="499" w:hanging="499"/>
      </w:pPr>
      <w:r>
        <w:rPr>
          <w:b/>
        </w:rPr>
        <w:t xml:space="preserve">6.9. </w:t>
      </w:r>
      <w:r>
        <w:t>Организационный комитет вправе отказать в допуске или исключить Участника за несоответствие требованиям настоящего раздела, заведомо недостоверные сведения, подделку подтверждений, нарушение конфиденциальности оценки, давление на экспертов либо иное существенное нарушение Положения. До принятия решения Участнику предоставляется возможность дать пояснения, кроме случаев очевидного злоупотребления.</w:t>
      </w:r>
    </w:p>
    <w:p>
      <w:pPr>
        <w:pStyle w:val="Heading1"/>
        <w:pBdr>
          <w:bottom w:val="single" w:sz="6" w:space="3" w:color="D9D9D9"/>
        </w:pBdr>
      </w:pPr>
      <w:r>
        <w:rPr>
          <w:b/>
          <w:color w:val="8A3B52"/>
        </w:rPr>
        <w:t xml:space="preserve">7. </w:t>
      </w:r>
      <w:r>
        <w:rPr>
          <w:b/>
          <w:color w:val="0D0D0D"/>
        </w:rPr>
        <w:t>НОМИНАЦИИ</w:t>
      </w:r>
    </w:p>
    <w:p>
      <w:pPr>
        <w:spacing w:after="84" w:line="252" w:lineRule="auto"/>
        <w:ind w:left="499" w:hanging="499"/>
      </w:pPr>
      <w:r>
        <w:rPr>
          <w:b/>
        </w:rPr>
        <w:t xml:space="preserve">7.1. </w:t>
      </w:r>
      <w:r>
        <w:t>В Премии предусмотрены следующие основные номинации:</w:t>
      </w:r>
    </w:p>
    <w:tbl>
      <w:tblPr>
        <w:tblStyle w:val="TableGrid"/>
        <w:tblW w:type="auto" w:w="0"/>
        <w:jc w:val="center"/>
        <w:tblLayout w:type="fixed"/>
        <w:tblLook w:firstColumn="1" w:firstRow="1" w:lastColumn="0" w:lastRow="0" w:noHBand="0" w:noVBand="1" w:val="04A0"/>
      </w:tblPr>
      <w:tblGrid>
        <w:gridCol w:w="453"/>
        <w:gridCol w:w="3005"/>
        <w:gridCol w:w="5443"/>
      </w:tblGrid>
      <w:tr>
        <w:trPr>
          <w:tblHeader w:val="true"/>
          <w:cantSplit/>
        </w:trPr>
        <w:tc>
          <w:tcPr>
            <w:tcW w:type="dxa" w:w="454"/>
            <w:vAlign w:val="center"/>
            <w:shd w:fill="0D0D0D"/>
            <w:tcMar>
              <w:top w:w="90" w:type="dxa"/>
              <w:start w:w="100" w:type="dxa"/>
              <w:bottom w:w="90" w:type="dxa"/>
              <w:end w:w="100" w:type="dxa"/>
            </w:tcMar>
          </w:tcPr>
          <w:p>
            <w:pPr>
              <w:widowControl/>
              <w:spacing w:after="0"/>
              <w:jc w:val="center"/>
            </w:pPr>
            <w:r>
              <w:rPr>
                <w:rFonts w:ascii="Arial" w:hAnsi="Arial"/>
                <w:b/>
                <w:color w:val="FFFFFF"/>
                <w:sz w:val="17"/>
              </w:rPr>
              <w:t>№</w:t>
            </w:r>
          </w:p>
        </w:tc>
        <w:tc>
          <w:tcPr>
            <w:tcW w:type="dxa" w:w="3005"/>
            <w:vAlign w:val="center"/>
            <w:shd w:fill="0D0D0D"/>
            <w:tcMar>
              <w:top w:w="90" w:type="dxa"/>
              <w:start w:w="100" w:type="dxa"/>
              <w:bottom w:w="90" w:type="dxa"/>
              <w:end w:w="100" w:type="dxa"/>
            </w:tcMar>
          </w:tcPr>
          <w:p>
            <w:pPr>
              <w:widowControl/>
              <w:spacing w:after="0"/>
              <w:jc w:val="center"/>
            </w:pPr>
            <w:r>
              <w:rPr>
                <w:rFonts w:ascii="Arial" w:hAnsi="Arial"/>
                <w:b/>
                <w:color w:val="FFFFFF"/>
                <w:sz w:val="17"/>
              </w:rPr>
              <w:t>Номинация</w:t>
            </w:r>
          </w:p>
        </w:tc>
        <w:tc>
          <w:tcPr>
            <w:tcW w:type="dxa" w:w="5443"/>
            <w:vAlign w:val="center"/>
            <w:shd w:fill="0D0D0D"/>
            <w:tcMar>
              <w:top w:w="90" w:type="dxa"/>
              <w:start w:w="100" w:type="dxa"/>
              <w:bottom w:w="90" w:type="dxa"/>
              <w:end w:w="100" w:type="dxa"/>
            </w:tcMar>
          </w:tcPr>
          <w:p>
            <w:pPr>
              <w:widowControl/>
              <w:spacing w:after="0"/>
              <w:jc w:val="center"/>
            </w:pPr>
            <w:r>
              <w:rPr>
                <w:rFonts w:ascii="Arial" w:hAnsi="Arial"/>
                <w:b/>
                <w:color w:val="FFFFFF"/>
                <w:sz w:val="17"/>
              </w:rPr>
              <w:t>В фокусе</w:t>
            </w:r>
          </w:p>
        </w:tc>
      </w:tr>
      <w:tr>
        <w:trPr>
          <w:cantSplit/>
        </w:trPr>
        <w:tc>
          <w:tcPr>
            <w:tcW w:type="dxa" w:w="454"/>
            <w:vAlign w:val="top"/>
            <w:tcMar>
              <w:top w:w="90" w:type="dxa"/>
              <w:start w:w="100" w:type="dxa"/>
              <w:bottom w:w="90" w:type="dxa"/>
              <w:end w:w="100" w:type="dxa"/>
            </w:tcMar>
            <w:shd w:fill="F7F7F7"/>
          </w:tcPr>
          <w:p>
            <w:pPr>
              <w:widowControl/>
              <w:spacing w:after="0" w:line="240" w:lineRule="auto"/>
            </w:pPr>
            <w:r>
              <w:rPr>
                <w:rFonts w:ascii="Arial" w:hAnsi="Arial"/>
                <w:sz w:val="17"/>
              </w:rPr>
              <w:t>1</w:t>
            </w:r>
          </w:p>
        </w:tc>
        <w:tc>
          <w:tcPr>
            <w:tcW w:type="dxa" w:w="3005"/>
            <w:vAlign w:val="top"/>
            <w:tcMar>
              <w:top w:w="90" w:type="dxa"/>
              <w:start w:w="100" w:type="dxa"/>
              <w:bottom w:w="90" w:type="dxa"/>
              <w:end w:w="100" w:type="dxa"/>
            </w:tcMar>
            <w:shd w:fill="F7F7F7"/>
          </w:tcPr>
          <w:p>
            <w:pPr>
              <w:widowControl/>
              <w:spacing w:after="0" w:line="240" w:lineRule="auto"/>
            </w:pPr>
            <w:r>
              <w:rPr>
                <w:rFonts w:ascii="Arial" w:hAnsi="Arial"/>
                <w:sz w:val="17"/>
              </w:rPr>
              <w:t>Самая сильная стратегия подбора</w:t>
            </w:r>
          </w:p>
        </w:tc>
        <w:tc>
          <w:tcPr>
            <w:tcW w:type="dxa" w:w="5443"/>
            <w:vAlign w:val="top"/>
            <w:tcMar>
              <w:top w:w="90" w:type="dxa"/>
              <w:start w:w="100" w:type="dxa"/>
              <w:bottom w:w="90" w:type="dxa"/>
              <w:end w:w="100" w:type="dxa"/>
            </w:tcMar>
            <w:shd w:fill="F7F7F7"/>
          </w:tcPr>
          <w:p>
            <w:pPr>
              <w:widowControl/>
              <w:spacing w:after="0" w:line="240" w:lineRule="auto"/>
            </w:pPr>
            <w:r>
              <w:rPr>
                <w:rFonts w:ascii="Arial" w:hAnsi="Arial"/>
                <w:sz w:val="17"/>
              </w:rPr>
              <w:t>планирование потребности, поиск и отбор, кандидатский опыт, качество и устойчивость найма</w:t>
            </w:r>
          </w:p>
        </w:tc>
      </w:tr>
      <w:tr>
        <w:trPr>
          <w:cantSplit/>
        </w:trPr>
        <w:tc>
          <w:tcPr>
            <w:tcW w:type="dxa" w:w="454"/>
            <w:vAlign w:val="top"/>
            <w:tcMar>
              <w:top w:w="90" w:type="dxa"/>
              <w:start w:w="100" w:type="dxa"/>
              <w:bottom w:w="90" w:type="dxa"/>
              <w:end w:w="100" w:type="dxa"/>
            </w:tcMar>
            <w:shd w:fill="F3E9EC"/>
          </w:tcPr>
          <w:p>
            <w:pPr>
              <w:widowControl/>
              <w:spacing w:after="0" w:line="240" w:lineRule="auto"/>
            </w:pPr>
            <w:r>
              <w:rPr>
                <w:rFonts w:ascii="Arial" w:hAnsi="Arial"/>
                <w:sz w:val="17"/>
              </w:rPr>
              <w:t>2</w:t>
            </w:r>
          </w:p>
        </w:tc>
        <w:tc>
          <w:tcPr>
            <w:tcW w:type="dxa" w:w="3005"/>
            <w:vAlign w:val="top"/>
            <w:tcMar>
              <w:top w:w="90" w:type="dxa"/>
              <w:start w:w="100" w:type="dxa"/>
              <w:bottom w:w="90" w:type="dxa"/>
              <w:end w:w="100" w:type="dxa"/>
            </w:tcMar>
            <w:shd w:fill="F3E9EC"/>
          </w:tcPr>
          <w:p>
            <w:pPr>
              <w:widowControl/>
              <w:spacing w:after="0" w:line="240" w:lineRule="auto"/>
            </w:pPr>
            <w:r>
              <w:rPr>
                <w:rFonts w:ascii="Arial" w:hAnsi="Arial"/>
                <w:sz w:val="17"/>
              </w:rPr>
              <w:t>Адаптация без потерь</w:t>
            </w:r>
          </w:p>
        </w:tc>
        <w:tc>
          <w:tcPr>
            <w:tcW w:type="dxa" w:w="5443"/>
            <w:vAlign w:val="top"/>
            <w:tcMar>
              <w:top w:w="90" w:type="dxa"/>
              <w:start w:w="100" w:type="dxa"/>
              <w:bottom w:w="90" w:type="dxa"/>
              <w:end w:w="100" w:type="dxa"/>
            </w:tcMar>
            <w:shd w:fill="F3E9EC"/>
          </w:tcPr>
          <w:p>
            <w:pPr>
              <w:widowControl/>
              <w:spacing w:after="0" w:line="240" w:lineRule="auto"/>
            </w:pPr>
            <w:r>
              <w:rPr>
                <w:rFonts w:ascii="Arial" w:hAnsi="Arial"/>
                <w:sz w:val="17"/>
              </w:rPr>
              <w:t>онбординг, адаптация, внутренние переходы и выход на результат в разных категориях персонала</w:t>
            </w:r>
          </w:p>
        </w:tc>
      </w:tr>
      <w:tr>
        <w:trPr>
          <w:cantSplit/>
        </w:trPr>
        <w:tc>
          <w:tcPr>
            <w:tcW w:type="dxa" w:w="454"/>
            <w:vAlign w:val="top"/>
            <w:tcMar>
              <w:top w:w="90" w:type="dxa"/>
              <w:start w:w="100" w:type="dxa"/>
              <w:bottom w:w="90" w:type="dxa"/>
              <w:end w:w="100" w:type="dxa"/>
            </w:tcMar>
            <w:shd w:fill="F7F7F7"/>
          </w:tcPr>
          <w:p>
            <w:pPr>
              <w:widowControl/>
              <w:spacing w:after="0" w:line="240" w:lineRule="auto"/>
            </w:pPr>
            <w:r>
              <w:rPr>
                <w:rFonts w:ascii="Arial" w:hAnsi="Arial"/>
                <w:sz w:val="17"/>
              </w:rPr>
              <w:t>3</w:t>
            </w:r>
          </w:p>
        </w:tc>
        <w:tc>
          <w:tcPr>
            <w:tcW w:type="dxa" w:w="3005"/>
            <w:vAlign w:val="top"/>
            <w:tcMar>
              <w:top w:w="90" w:type="dxa"/>
              <w:start w:w="100" w:type="dxa"/>
              <w:bottom w:w="90" w:type="dxa"/>
              <w:end w:w="100" w:type="dxa"/>
            </w:tcMar>
            <w:shd w:fill="F7F7F7"/>
          </w:tcPr>
          <w:p>
            <w:pPr>
              <w:widowControl/>
              <w:spacing w:after="0" w:line="240" w:lineRule="auto"/>
            </w:pPr>
            <w:r>
              <w:rPr>
                <w:rFonts w:ascii="Arial" w:hAnsi="Arial"/>
                <w:sz w:val="17"/>
              </w:rPr>
              <w:t>Обучение и развитие персонала</w:t>
            </w:r>
          </w:p>
        </w:tc>
        <w:tc>
          <w:tcPr>
            <w:tcW w:type="dxa" w:w="5443"/>
            <w:vAlign w:val="top"/>
            <w:tcMar>
              <w:top w:w="90" w:type="dxa"/>
              <w:start w:w="100" w:type="dxa"/>
              <w:bottom w:w="90" w:type="dxa"/>
              <w:end w:w="100" w:type="dxa"/>
            </w:tcMar>
            <w:shd w:fill="F7F7F7"/>
          </w:tcPr>
          <w:p>
            <w:pPr>
              <w:widowControl/>
              <w:spacing w:after="0" w:line="240" w:lineRule="auto"/>
            </w:pPr>
            <w:r>
              <w:rPr>
                <w:rFonts w:ascii="Arial" w:hAnsi="Arial"/>
                <w:sz w:val="17"/>
              </w:rPr>
              <w:t>обучение, развитие навыков, наставничество, кадровый резерв и развитие руководителей</w:t>
            </w:r>
          </w:p>
        </w:tc>
      </w:tr>
      <w:tr>
        <w:trPr>
          <w:cantSplit/>
        </w:trPr>
        <w:tc>
          <w:tcPr>
            <w:tcW w:type="dxa" w:w="454"/>
            <w:vAlign w:val="top"/>
            <w:tcMar>
              <w:top w:w="90" w:type="dxa"/>
              <w:start w:w="100" w:type="dxa"/>
              <w:bottom w:w="90" w:type="dxa"/>
              <w:end w:w="100" w:type="dxa"/>
            </w:tcMar>
            <w:shd w:fill="F3E9EC"/>
          </w:tcPr>
          <w:p>
            <w:pPr>
              <w:widowControl/>
              <w:spacing w:after="0" w:line="240" w:lineRule="auto"/>
            </w:pPr>
            <w:r>
              <w:rPr>
                <w:rFonts w:ascii="Arial" w:hAnsi="Arial"/>
                <w:sz w:val="17"/>
              </w:rPr>
              <w:t>4</w:t>
            </w:r>
          </w:p>
        </w:tc>
        <w:tc>
          <w:tcPr>
            <w:tcW w:type="dxa" w:w="3005"/>
            <w:vAlign w:val="top"/>
            <w:tcMar>
              <w:top w:w="90" w:type="dxa"/>
              <w:start w:w="100" w:type="dxa"/>
              <w:bottom w:w="90" w:type="dxa"/>
              <w:end w:w="100" w:type="dxa"/>
            </w:tcMar>
            <w:shd w:fill="F3E9EC"/>
          </w:tcPr>
          <w:p>
            <w:pPr>
              <w:widowControl/>
              <w:spacing w:after="0" w:line="240" w:lineRule="auto"/>
            </w:pPr>
            <w:r>
              <w:rPr>
                <w:rFonts w:ascii="Arial" w:hAnsi="Arial"/>
                <w:sz w:val="17"/>
              </w:rPr>
              <w:t>Развитие корпоративной культуры</w:t>
            </w:r>
          </w:p>
        </w:tc>
        <w:tc>
          <w:tcPr>
            <w:tcW w:type="dxa" w:w="5443"/>
            <w:vAlign w:val="top"/>
            <w:tcMar>
              <w:top w:w="90" w:type="dxa"/>
              <w:start w:w="100" w:type="dxa"/>
              <w:bottom w:w="90" w:type="dxa"/>
              <w:end w:w="100" w:type="dxa"/>
            </w:tcMar>
            <w:shd w:fill="F3E9EC"/>
          </w:tcPr>
          <w:p>
            <w:pPr>
              <w:widowControl/>
              <w:spacing w:after="0" w:line="240" w:lineRule="auto"/>
            </w:pPr>
            <w:r>
              <w:rPr>
                <w:rFonts w:ascii="Arial" w:hAnsi="Arial"/>
                <w:sz w:val="17"/>
              </w:rPr>
              <w:t>ценности, внутренние коммуникации, вовлеченность, управленческие практики и корпоративная ответственность</w:t>
            </w:r>
          </w:p>
        </w:tc>
      </w:tr>
      <w:tr>
        <w:trPr>
          <w:cantSplit/>
        </w:trPr>
        <w:tc>
          <w:tcPr>
            <w:tcW w:type="dxa" w:w="454"/>
            <w:vAlign w:val="top"/>
            <w:tcMar>
              <w:top w:w="90" w:type="dxa"/>
              <w:start w:w="100" w:type="dxa"/>
              <w:bottom w:w="90" w:type="dxa"/>
              <w:end w:w="100" w:type="dxa"/>
            </w:tcMar>
            <w:shd w:fill="F7F7F7"/>
          </w:tcPr>
          <w:p>
            <w:pPr>
              <w:widowControl/>
              <w:spacing w:after="0" w:line="240" w:lineRule="auto"/>
            </w:pPr>
            <w:r>
              <w:rPr>
                <w:rFonts w:ascii="Arial" w:hAnsi="Arial"/>
                <w:sz w:val="17"/>
              </w:rPr>
              <w:t>5</w:t>
            </w:r>
          </w:p>
        </w:tc>
        <w:tc>
          <w:tcPr>
            <w:tcW w:type="dxa" w:w="3005"/>
            <w:vAlign w:val="top"/>
            <w:tcMar>
              <w:top w:w="90" w:type="dxa"/>
              <w:start w:w="100" w:type="dxa"/>
              <w:bottom w:w="90" w:type="dxa"/>
              <w:end w:w="100" w:type="dxa"/>
            </w:tcMar>
            <w:shd w:fill="F7F7F7"/>
          </w:tcPr>
          <w:p>
            <w:pPr>
              <w:widowControl/>
              <w:spacing w:after="0" w:line="240" w:lineRule="auto"/>
            </w:pPr>
            <w:r>
              <w:rPr>
                <w:rFonts w:ascii="Arial" w:hAnsi="Arial"/>
                <w:sz w:val="17"/>
              </w:rPr>
              <w:t>Максимальная забота о сотрудниках</w:t>
            </w:r>
          </w:p>
        </w:tc>
        <w:tc>
          <w:tcPr>
            <w:tcW w:type="dxa" w:w="5443"/>
            <w:vAlign w:val="top"/>
            <w:tcMar>
              <w:top w:w="90" w:type="dxa"/>
              <w:start w:w="100" w:type="dxa"/>
              <w:bottom w:w="90" w:type="dxa"/>
              <w:end w:w="100" w:type="dxa"/>
            </w:tcMar>
            <w:shd w:fill="F7F7F7"/>
          </w:tcPr>
          <w:p>
            <w:pPr>
              <w:widowControl/>
              <w:spacing w:after="0" w:line="240" w:lineRule="auto"/>
            </w:pPr>
            <w:r>
              <w:rPr>
                <w:rFonts w:ascii="Arial" w:hAnsi="Arial"/>
                <w:sz w:val="17"/>
              </w:rPr>
              <w:t>условия труда, физическое и психологическое благополучие, профилактика выгорания и управление рисками</w:t>
            </w:r>
          </w:p>
        </w:tc>
      </w:tr>
      <w:tr>
        <w:trPr>
          <w:cantSplit/>
        </w:trPr>
        <w:tc>
          <w:tcPr>
            <w:tcW w:type="dxa" w:w="454"/>
            <w:vAlign w:val="top"/>
            <w:tcMar>
              <w:top w:w="90" w:type="dxa"/>
              <w:start w:w="100" w:type="dxa"/>
              <w:bottom w:w="90" w:type="dxa"/>
              <w:end w:w="100" w:type="dxa"/>
            </w:tcMar>
            <w:shd w:fill="F3E9EC"/>
          </w:tcPr>
          <w:p>
            <w:pPr>
              <w:widowControl/>
              <w:spacing w:after="0" w:line="240" w:lineRule="auto"/>
            </w:pPr>
            <w:r>
              <w:rPr>
                <w:rFonts w:ascii="Arial" w:hAnsi="Arial"/>
                <w:sz w:val="17"/>
              </w:rPr>
              <w:t>6</w:t>
            </w:r>
          </w:p>
        </w:tc>
        <w:tc>
          <w:tcPr>
            <w:tcW w:type="dxa" w:w="3005"/>
            <w:vAlign w:val="top"/>
            <w:tcMar>
              <w:top w:w="90" w:type="dxa"/>
              <w:start w:w="100" w:type="dxa"/>
              <w:bottom w:w="90" w:type="dxa"/>
              <w:end w:w="100" w:type="dxa"/>
            </w:tcMar>
            <w:shd w:fill="F3E9EC"/>
          </w:tcPr>
          <w:p>
            <w:pPr>
              <w:widowControl/>
              <w:spacing w:after="0" w:line="240" w:lineRule="auto"/>
            </w:pPr>
            <w:r>
              <w:rPr>
                <w:rFonts w:ascii="Arial" w:hAnsi="Arial"/>
                <w:sz w:val="17"/>
              </w:rPr>
              <w:t>Мотивация и производительность</w:t>
            </w:r>
          </w:p>
        </w:tc>
        <w:tc>
          <w:tcPr>
            <w:tcW w:type="dxa" w:w="5443"/>
            <w:vAlign w:val="top"/>
            <w:tcMar>
              <w:top w:w="90" w:type="dxa"/>
              <w:start w:w="100" w:type="dxa"/>
              <w:bottom w:w="90" w:type="dxa"/>
              <w:end w:w="100" w:type="dxa"/>
            </w:tcMar>
            <w:shd w:fill="F3E9EC"/>
          </w:tcPr>
          <w:p>
            <w:pPr>
              <w:widowControl/>
              <w:spacing w:after="0" w:line="240" w:lineRule="auto"/>
            </w:pPr>
            <w:r>
              <w:rPr>
                <w:rFonts w:ascii="Arial" w:hAnsi="Arial"/>
                <w:sz w:val="17"/>
              </w:rPr>
              <w:t>цели, вознаграждение, признание, обратная связь и измеримый вклад в результативность</w:t>
            </w:r>
          </w:p>
        </w:tc>
      </w:tr>
      <w:tr>
        <w:trPr>
          <w:cantSplit/>
        </w:trPr>
        <w:tc>
          <w:tcPr>
            <w:tcW w:type="dxa" w:w="454"/>
            <w:vAlign w:val="top"/>
            <w:tcMar>
              <w:top w:w="90" w:type="dxa"/>
              <w:start w:w="100" w:type="dxa"/>
              <w:bottom w:w="90" w:type="dxa"/>
              <w:end w:w="100" w:type="dxa"/>
            </w:tcMar>
            <w:shd w:fill="F7F7F7"/>
          </w:tcPr>
          <w:p>
            <w:pPr>
              <w:widowControl/>
              <w:spacing w:after="0" w:line="240" w:lineRule="auto"/>
            </w:pPr>
            <w:r>
              <w:rPr>
                <w:rFonts w:ascii="Arial" w:hAnsi="Arial"/>
                <w:sz w:val="17"/>
              </w:rPr>
              <w:t>7</w:t>
            </w:r>
          </w:p>
        </w:tc>
        <w:tc>
          <w:tcPr>
            <w:tcW w:type="dxa" w:w="3005"/>
            <w:vAlign w:val="top"/>
            <w:tcMar>
              <w:top w:w="90" w:type="dxa"/>
              <w:start w:w="100" w:type="dxa"/>
              <w:bottom w:w="90" w:type="dxa"/>
              <w:end w:w="100" w:type="dxa"/>
            </w:tcMar>
            <w:shd w:fill="F7F7F7"/>
          </w:tcPr>
          <w:p>
            <w:pPr>
              <w:widowControl/>
              <w:spacing w:after="0" w:line="240" w:lineRule="auto"/>
            </w:pPr>
            <w:r>
              <w:rPr>
                <w:rFonts w:ascii="Arial" w:hAnsi="Arial"/>
                <w:sz w:val="17"/>
              </w:rPr>
              <w:t>Цифровизация и ИИ в HR</w:t>
            </w:r>
          </w:p>
        </w:tc>
        <w:tc>
          <w:tcPr>
            <w:tcW w:type="dxa" w:w="5443"/>
            <w:vAlign w:val="top"/>
            <w:tcMar>
              <w:top w:w="90" w:type="dxa"/>
              <w:start w:w="100" w:type="dxa"/>
              <w:bottom w:w="90" w:type="dxa"/>
              <w:end w:w="100" w:type="dxa"/>
            </w:tcMar>
            <w:shd w:fill="F7F7F7"/>
          </w:tcPr>
          <w:p>
            <w:pPr>
              <w:widowControl/>
              <w:spacing w:after="0" w:line="240" w:lineRule="auto"/>
            </w:pPr>
            <w:r>
              <w:rPr>
                <w:rFonts w:ascii="Arial" w:hAnsi="Arial"/>
                <w:sz w:val="17"/>
              </w:rPr>
              <w:t>автоматизация и HR-аналитика, интеграция данных, использование ИИ, безопасность и человеческий контроль</w:t>
            </w:r>
          </w:p>
        </w:tc>
      </w:tr>
    </w:tbl>
    <w:p>
      <w:pPr>
        <w:spacing w:after="0"/>
      </w:pPr>
    </w:p>
    <w:p>
      <w:pPr>
        <w:spacing w:after="84" w:line="252" w:lineRule="auto"/>
        <w:ind w:left="499" w:hanging="499"/>
      </w:pPr>
      <w:r>
        <w:rPr>
          <w:b/>
        </w:rPr>
        <w:t xml:space="preserve">7.2. </w:t>
      </w:r>
      <w:r>
        <w:rPr>
          <w:b/>
        </w:rPr>
        <w:t>В рамках одного конкурсного цикла одна организация вправе подать только одну заявку, представить только один проект и участвовать только в одной номинации.</w:t>
      </w:r>
      <w:r/>
    </w:p>
    <w:p>
      <w:pPr>
        <w:spacing w:after="84" w:line="252" w:lineRule="auto"/>
        <w:ind w:left="499" w:hanging="499"/>
      </w:pPr>
      <w:r>
        <w:rPr>
          <w:b/>
        </w:rPr>
        <w:t xml:space="preserve">7.3. </w:t>
      </w:r>
      <w:r>
        <w:t>Подача одной организацией разных заявок с разными проектами в разные номинации не допускается. Если несколько заявок выявлены до окончания срока приема, заявитель по запросу Организационного комитета выбирает одну заявку в установленный им срок. При отсутствии выбора принятой может быть признана только первая по времени полностью заполненная и отправленная заявка; остальные заявки отклоняются.</w:t>
      </w:r>
    </w:p>
    <w:p>
      <w:pPr>
        <w:spacing w:after="84" w:line="252" w:lineRule="auto"/>
        <w:ind w:left="499" w:hanging="499"/>
      </w:pPr>
      <w:r>
        <w:rPr>
          <w:b/>
        </w:rPr>
        <w:t xml:space="preserve">7.4. </w:t>
      </w:r>
      <w:r>
        <w:t>Организационный комитет может предложить изменить номинацию, если содержание проекта очевидно соответствует другой номинации. Изменение допускается только с согласия Участника и до передачи анкеты Экспертному совету.</w:t>
      </w:r>
    </w:p>
    <w:p>
      <w:pPr>
        <w:spacing w:after="84" w:line="252" w:lineRule="auto"/>
        <w:ind w:left="499" w:hanging="499"/>
      </w:pPr>
      <w:r>
        <w:rPr>
          <w:b/>
        </w:rPr>
        <w:t xml:space="preserve">7.5. </w:t>
      </w:r>
      <w:r>
        <w:t>Организатор может заранее установить сопоставимые подкатегории, в том числе по численности работников. Подкатегория служит только для формирования рейтинга; размер организации не увеличивает и не уменьшает ее баллы. Подкатегории и пороговые значения публикуются до окончания первой половины срока приема конкурсных работ.</w:t>
      </w:r>
    </w:p>
    <w:p>
      <w:pPr>
        <w:pStyle w:val="Heading1"/>
        <w:pBdr>
          <w:bottom w:val="single" w:sz="6" w:space="3" w:color="D9D9D9"/>
        </w:pBdr>
      </w:pPr>
      <w:r>
        <w:rPr>
          <w:b/>
          <w:color w:val="8A3B52"/>
        </w:rPr>
        <w:t xml:space="preserve">8. </w:t>
      </w:r>
      <w:r>
        <w:rPr>
          <w:b/>
          <w:color w:val="0D0D0D"/>
        </w:rPr>
        <w:t>ЭТАПЫ ПРЕМИИ И ПОДАЧА ЗАЯВКИ</w:t>
      </w:r>
    </w:p>
    <w:p>
      <w:pPr>
        <w:spacing w:after="84" w:line="252" w:lineRule="auto"/>
        <w:ind w:left="499" w:hanging="499"/>
      </w:pPr>
      <w:r>
        <w:rPr>
          <w:b/>
        </w:rPr>
        <w:t xml:space="preserve">8.1. </w:t>
      </w:r>
      <w:r>
        <w:t>Конкурсный цикл включает:</w:t>
      </w:r>
    </w:p>
    <w:tbl>
      <w:tblPr>
        <w:tblStyle w:val="TableGrid"/>
        <w:tblW w:type="auto" w:w="0"/>
        <w:jc w:val="center"/>
        <w:tblLayout w:type="fixed"/>
        <w:tblLook w:firstColumn="1" w:firstRow="1" w:lastColumn="0" w:lastRow="0" w:noHBand="0" w:noVBand="1" w:val="04A0"/>
      </w:tblPr>
      <w:tblGrid>
        <w:gridCol w:w="623"/>
        <w:gridCol w:w="2268"/>
        <w:gridCol w:w="6010"/>
      </w:tblGrid>
      <w:tr>
        <w:trPr>
          <w:tblHeader w:val="true"/>
          <w:cantSplit/>
        </w:trPr>
        <w:tc>
          <w:tcPr>
            <w:tcW w:type="dxa" w:w="624"/>
            <w:vAlign w:val="center"/>
            <w:shd w:fill="0D0D0D"/>
            <w:tcMar>
              <w:top w:w="90" w:type="dxa"/>
              <w:start w:w="100" w:type="dxa"/>
              <w:bottom w:w="90" w:type="dxa"/>
              <w:end w:w="100" w:type="dxa"/>
            </w:tcMar>
          </w:tcPr>
          <w:p>
            <w:pPr>
              <w:widowControl/>
              <w:spacing w:after="0"/>
              <w:jc w:val="center"/>
            </w:pPr>
            <w:r>
              <w:rPr>
                <w:rFonts w:ascii="Arial" w:hAnsi="Arial"/>
                <w:b/>
                <w:color w:val="FFFFFF"/>
                <w:sz w:val="17"/>
              </w:rPr>
              <w:t>Этап</w:t>
            </w:r>
          </w:p>
        </w:tc>
        <w:tc>
          <w:tcPr>
            <w:tcW w:type="dxa" w:w="2268"/>
            <w:vAlign w:val="center"/>
            <w:shd w:fill="0D0D0D"/>
            <w:tcMar>
              <w:top w:w="90" w:type="dxa"/>
              <w:start w:w="100" w:type="dxa"/>
              <w:bottom w:w="90" w:type="dxa"/>
              <w:end w:w="100" w:type="dxa"/>
            </w:tcMar>
          </w:tcPr>
          <w:p>
            <w:pPr>
              <w:widowControl/>
              <w:spacing w:after="0"/>
              <w:jc w:val="center"/>
            </w:pPr>
            <w:r>
              <w:rPr>
                <w:rFonts w:ascii="Arial" w:hAnsi="Arial"/>
                <w:b/>
                <w:color w:val="FFFFFF"/>
                <w:sz w:val="17"/>
              </w:rPr>
              <w:t>Наименование</w:t>
            </w:r>
          </w:p>
        </w:tc>
        <w:tc>
          <w:tcPr>
            <w:tcW w:type="dxa" w:w="6009"/>
            <w:vAlign w:val="center"/>
            <w:shd w:fill="0D0D0D"/>
            <w:tcMar>
              <w:top w:w="90" w:type="dxa"/>
              <w:start w:w="100" w:type="dxa"/>
              <w:bottom w:w="90" w:type="dxa"/>
              <w:end w:w="100" w:type="dxa"/>
            </w:tcMar>
          </w:tcPr>
          <w:p>
            <w:pPr>
              <w:widowControl/>
              <w:spacing w:after="0"/>
              <w:jc w:val="center"/>
            </w:pPr>
            <w:r>
              <w:rPr>
                <w:rFonts w:ascii="Arial" w:hAnsi="Arial"/>
                <w:b/>
                <w:color w:val="FFFFFF"/>
                <w:sz w:val="17"/>
              </w:rPr>
              <w:t>Содержание</w:t>
            </w:r>
          </w:p>
        </w:tc>
      </w:tr>
      <w:tr>
        <w:trPr>
          <w:cantSplit/>
        </w:trPr>
        <w:tc>
          <w:tcPr>
            <w:tcW w:type="dxa" w:w="624"/>
            <w:vAlign w:val="top"/>
            <w:tcMar>
              <w:top w:w="90" w:type="dxa"/>
              <w:start w:w="100" w:type="dxa"/>
              <w:bottom w:w="90" w:type="dxa"/>
              <w:end w:w="100" w:type="dxa"/>
            </w:tcMar>
            <w:shd w:fill="F7F7F7"/>
          </w:tcPr>
          <w:p>
            <w:pPr>
              <w:widowControl/>
              <w:spacing w:after="0" w:line="240" w:lineRule="auto"/>
            </w:pPr>
            <w:r>
              <w:rPr>
                <w:rFonts w:ascii="Arial" w:hAnsi="Arial"/>
                <w:sz w:val="17"/>
              </w:rPr>
              <w:t>1</w:t>
            </w:r>
          </w:p>
        </w:tc>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Прием заявок</w:t>
            </w:r>
          </w:p>
        </w:tc>
        <w:tc>
          <w:tcPr>
            <w:tcW w:type="dxa" w:w="6009"/>
            <w:vAlign w:val="top"/>
            <w:tcMar>
              <w:top w:w="90" w:type="dxa"/>
              <w:start w:w="100" w:type="dxa"/>
              <w:bottom w:w="90" w:type="dxa"/>
              <w:end w:w="100" w:type="dxa"/>
            </w:tcMar>
            <w:shd w:fill="F7F7F7"/>
          </w:tcPr>
          <w:p>
            <w:pPr>
              <w:widowControl/>
              <w:spacing w:after="0" w:line="240" w:lineRule="auto"/>
            </w:pPr>
            <w:r>
              <w:rPr>
                <w:rFonts w:ascii="Arial" w:hAnsi="Arial"/>
                <w:sz w:val="17"/>
              </w:rPr>
              <w:t>регистрация организации и предварительная проверка допуска</w:t>
            </w:r>
          </w:p>
        </w:tc>
      </w:tr>
      <w:tr>
        <w:trPr>
          <w:cantSplit/>
        </w:trPr>
        <w:tc>
          <w:tcPr>
            <w:tcW w:type="dxa" w:w="624"/>
            <w:vAlign w:val="top"/>
            <w:tcMar>
              <w:top w:w="90" w:type="dxa"/>
              <w:start w:w="100" w:type="dxa"/>
              <w:bottom w:w="90" w:type="dxa"/>
              <w:end w:w="100" w:type="dxa"/>
            </w:tcMar>
            <w:shd w:fill="F3E9EC"/>
          </w:tcPr>
          <w:p>
            <w:pPr>
              <w:widowControl/>
              <w:spacing w:after="0" w:line="240" w:lineRule="auto"/>
            </w:pPr>
            <w:r>
              <w:rPr>
                <w:rFonts w:ascii="Arial" w:hAnsi="Arial"/>
                <w:sz w:val="17"/>
              </w:rPr>
              <w:t>2</w:t>
            </w:r>
          </w:p>
        </w:tc>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Заполнение анкеты</w:t>
            </w:r>
          </w:p>
        </w:tc>
        <w:tc>
          <w:tcPr>
            <w:tcW w:type="dxa" w:w="6009"/>
            <w:vAlign w:val="top"/>
            <w:tcMar>
              <w:top w:w="90" w:type="dxa"/>
              <w:start w:w="100" w:type="dxa"/>
              <w:bottom w:w="90" w:type="dxa"/>
              <w:end w:w="100" w:type="dxa"/>
            </w:tcMar>
            <w:shd w:fill="F3E9EC"/>
          </w:tcPr>
          <w:p>
            <w:pPr>
              <w:widowControl/>
              <w:spacing w:after="0" w:line="240" w:lineRule="auto"/>
            </w:pPr>
            <w:r>
              <w:rPr>
                <w:rFonts w:ascii="Arial" w:hAnsi="Arial"/>
                <w:sz w:val="17"/>
              </w:rPr>
              <w:t>представление сведений об HR-функции, проекте и выбранной номинации</w:t>
            </w:r>
          </w:p>
        </w:tc>
      </w:tr>
      <w:tr>
        <w:trPr>
          <w:cantSplit/>
        </w:trPr>
        <w:tc>
          <w:tcPr>
            <w:tcW w:type="dxa" w:w="624"/>
            <w:vAlign w:val="top"/>
            <w:tcMar>
              <w:top w:w="90" w:type="dxa"/>
              <w:start w:w="100" w:type="dxa"/>
              <w:bottom w:w="90" w:type="dxa"/>
              <w:end w:w="100" w:type="dxa"/>
            </w:tcMar>
            <w:shd w:fill="F7F7F7"/>
          </w:tcPr>
          <w:p>
            <w:pPr>
              <w:widowControl/>
              <w:spacing w:after="0" w:line="240" w:lineRule="auto"/>
            </w:pPr>
            <w:r>
              <w:rPr>
                <w:rFonts w:ascii="Arial" w:hAnsi="Arial"/>
                <w:sz w:val="17"/>
              </w:rPr>
              <w:t>3</w:t>
            </w:r>
          </w:p>
        </w:tc>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Проверка и обезличивание</w:t>
            </w:r>
          </w:p>
        </w:tc>
        <w:tc>
          <w:tcPr>
            <w:tcW w:type="dxa" w:w="6009"/>
            <w:vAlign w:val="top"/>
            <w:tcMar>
              <w:top w:w="90" w:type="dxa"/>
              <w:start w:w="100" w:type="dxa"/>
              <w:bottom w:w="90" w:type="dxa"/>
              <w:end w:w="100" w:type="dxa"/>
            </w:tcMar>
            <w:shd w:fill="F7F7F7"/>
          </w:tcPr>
          <w:p>
            <w:pPr>
              <w:widowControl/>
              <w:spacing w:after="0" w:line="240" w:lineRule="auto"/>
            </w:pPr>
            <w:r>
              <w:rPr>
                <w:rFonts w:ascii="Arial" w:hAnsi="Arial"/>
                <w:sz w:val="17"/>
              </w:rPr>
              <w:t>контроль комплектности и подготовка материалов для экспертов</w:t>
            </w:r>
          </w:p>
        </w:tc>
      </w:tr>
      <w:tr>
        <w:trPr>
          <w:cantSplit/>
        </w:trPr>
        <w:tc>
          <w:tcPr>
            <w:tcW w:type="dxa" w:w="624"/>
            <w:vAlign w:val="top"/>
            <w:tcMar>
              <w:top w:w="90" w:type="dxa"/>
              <w:start w:w="100" w:type="dxa"/>
              <w:bottom w:w="90" w:type="dxa"/>
              <w:end w:w="100" w:type="dxa"/>
            </w:tcMar>
            <w:shd w:fill="F3E9EC"/>
          </w:tcPr>
          <w:p>
            <w:pPr>
              <w:widowControl/>
              <w:spacing w:after="0" w:line="240" w:lineRule="auto"/>
            </w:pPr>
            <w:r>
              <w:rPr>
                <w:rFonts w:ascii="Arial" w:hAnsi="Arial"/>
                <w:sz w:val="17"/>
              </w:rPr>
              <w:t>4</w:t>
            </w:r>
          </w:p>
        </w:tc>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Экспертная оценка</w:t>
            </w:r>
          </w:p>
        </w:tc>
        <w:tc>
          <w:tcPr>
            <w:tcW w:type="dxa" w:w="6009"/>
            <w:vAlign w:val="top"/>
            <w:tcMar>
              <w:top w:w="90" w:type="dxa"/>
              <w:start w:w="100" w:type="dxa"/>
              <w:bottom w:w="90" w:type="dxa"/>
              <w:end w:w="100" w:type="dxa"/>
            </w:tcMar>
            <w:shd w:fill="F3E9EC"/>
          </w:tcPr>
          <w:p>
            <w:pPr>
              <w:widowControl/>
              <w:spacing w:after="0" w:line="240" w:lineRule="auto"/>
            </w:pPr>
            <w:r>
              <w:rPr>
                <w:rFonts w:ascii="Arial" w:hAnsi="Arial"/>
                <w:sz w:val="17"/>
              </w:rPr>
              <w:t>оценка проекта по единой шкале и критериям</w:t>
            </w:r>
          </w:p>
        </w:tc>
      </w:tr>
      <w:tr>
        <w:trPr>
          <w:cantSplit/>
        </w:trPr>
        <w:tc>
          <w:tcPr>
            <w:tcW w:type="dxa" w:w="624"/>
            <w:vAlign w:val="top"/>
            <w:tcMar>
              <w:top w:w="90" w:type="dxa"/>
              <w:start w:w="100" w:type="dxa"/>
              <w:bottom w:w="90" w:type="dxa"/>
              <w:end w:w="100" w:type="dxa"/>
            </w:tcMar>
            <w:shd w:fill="F7F7F7"/>
          </w:tcPr>
          <w:p>
            <w:pPr>
              <w:widowControl/>
              <w:spacing w:after="0" w:line="240" w:lineRule="auto"/>
            </w:pPr>
            <w:r>
              <w:rPr>
                <w:rFonts w:ascii="Arial" w:hAnsi="Arial"/>
                <w:sz w:val="17"/>
              </w:rPr>
              <w:t>5</w:t>
            </w:r>
          </w:p>
        </w:tc>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Подсчет и утверждение итогов</w:t>
            </w:r>
          </w:p>
        </w:tc>
        <w:tc>
          <w:tcPr>
            <w:tcW w:type="dxa" w:w="6009"/>
            <w:vAlign w:val="top"/>
            <w:tcMar>
              <w:top w:w="90" w:type="dxa"/>
              <w:start w:w="100" w:type="dxa"/>
              <w:bottom w:w="90" w:type="dxa"/>
              <w:end w:w="100" w:type="dxa"/>
            </w:tcMar>
            <w:shd w:fill="F7F7F7"/>
          </w:tcPr>
          <w:p>
            <w:pPr>
              <w:widowControl/>
              <w:spacing w:after="0" w:line="240" w:lineRule="auto"/>
            </w:pPr>
            <w:r>
              <w:rPr>
                <w:rFonts w:ascii="Arial" w:hAnsi="Arial"/>
                <w:sz w:val="17"/>
              </w:rPr>
              <w:t>расчет рейтинга и протоколирование результатов</w:t>
            </w:r>
          </w:p>
        </w:tc>
      </w:tr>
      <w:tr>
        <w:trPr>
          <w:cantSplit/>
        </w:trPr>
        <w:tc>
          <w:tcPr>
            <w:tcW w:type="dxa" w:w="624"/>
            <w:vAlign w:val="top"/>
            <w:tcMar>
              <w:top w:w="90" w:type="dxa"/>
              <w:start w:w="100" w:type="dxa"/>
              <w:bottom w:w="90" w:type="dxa"/>
              <w:end w:w="100" w:type="dxa"/>
            </w:tcMar>
            <w:shd w:fill="F3E9EC"/>
          </w:tcPr>
          <w:p>
            <w:pPr>
              <w:widowControl/>
              <w:spacing w:after="0" w:line="240" w:lineRule="auto"/>
            </w:pPr>
            <w:r>
              <w:rPr>
                <w:rFonts w:ascii="Arial" w:hAnsi="Arial"/>
                <w:sz w:val="17"/>
              </w:rPr>
              <w:t>6</w:t>
            </w:r>
          </w:p>
        </w:tc>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Награждение и публикация</w:t>
            </w:r>
          </w:p>
        </w:tc>
        <w:tc>
          <w:tcPr>
            <w:tcW w:type="dxa" w:w="6009"/>
            <w:vAlign w:val="top"/>
            <w:tcMar>
              <w:top w:w="90" w:type="dxa"/>
              <w:start w:w="100" w:type="dxa"/>
              <w:bottom w:w="90" w:type="dxa"/>
              <w:end w:w="100" w:type="dxa"/>
            </w:tcMar>
            <w:shd w:fill="F3E9EC"/>
          </w:tcPr>
          <w:p>
            <w:pPr>
              <w:widowControl/>
              <w:spacing w:after="0" w:line="240" w:lineRule="auto"/>
            </w:pPr>
            <w:r>
              <w:rPr>
                <w:rFonts w:ascii="Arial" w:hAnsi="Arial"/>
                <w:sz w:val="17"/>
              </w:rPr>
              <w:t>объявление победителей и допустимое использование материалов</w:t>
            </w:r>
          </w:p>
        </w:tc>
      </w:tr>
    </w:tbl>
    <w:p>
      <w:pPr>
        <w:spacing w:after="0"/>
      </w:pPr>
    </w:p>
    <w:p>
      <w:pPr>
        <w:spacing w:after="84" w:line="252" w:lineRule="auto"/>
        <w:ind w:left="499" w:hanging="499"/>
      </w:pPr>
      <w:r>
        <w:rPr>
          <w:b/>
        </w:rPr>
        <w:t xml:space="preserve">8.2. </w:t>
      </w:r>
      <w:r>
        <w:t>Точные даты начала и окончания этапов публикуются на Сайте. Заявка считается поданной в момент ее регистрации информационной системой либо подтверждения Организационным комитетом при условии заполнения 100% обязательных полей заявки и конкурсной анкеты.</w:t>
      </w:r>
    </w:p>
    <w:p>
      <w:pPr>
        <w:spacing w:after="84" w:line="252" w:lineRule="auto"/>
        <w:ind w:left="499" w:hanging="499"/>
      </w:pPr>
      <w:r>
        <w:rPr>
          <w:b/>
        </w:rPr>
        <w:t xml:space="preserve">8.3. </w:t>
      </w:r>
      <w:r>
        <w:t>Заявку подает уполномоченный представитель организации через форму на Сайте. Если организацию предложил эксперт или иное лицо, участие подтверждается только после согласия уполномоченного представителя организации.</w:t>
      </w:r>
    </w:p>
    <w:p>
      <w:pPr>
        <w:spacing w:after="84" w:line="252" w:lineRule="auto"/>
        <w:ind w:left="499" w:hanging="499"/>
      </w:pPr>
      <w:r>
        <w:rPr>
          <w:b/>
        </w:rPr>
        <w:t xml:space="preserve">8.4. </w:t>
      </w:r>
      <w:r>
        <w:t>В заявке указываются наименование юридического лица и бренда, сфера деятельности, численность HR-команды, выбранная номинация, сведения о руководителе HR-функции и контактном лице, а также иные поля формы. Организатор вправе запросить подтверждение численности HR-команды.</w:t>
      </w:r>
    </w:p>
    <w:p>
      <w:pPr>
        <w:spacing w:after="84" w:line="252" w:lineRule="auto"/>
        <w:ind w:left="499" w:hanging="499"/>
      </w:pPr>
      <w:r>
        <w:rPr>
          <w:b/>
        </w:rPr>
        <w:t xml:space="preserve">8.5. </w:t>
      </w:r>
      <w:r>
        <w:rPr>
          <w:b/>
        </w:rPr>
        <w:t>Заявка считается принятой только после заполнения 100% обязательных полей заявки и конкурсной анкеты, ее отправки в установленный срок и регистрации информационной системой либо подтверждения Организационным комитетом.</w:t>
      </w:r>
      <w:r>
        <w:t xml:space="preserve"> Сохраненный черновик, частично заполненная или неотправленная анкета заявкой не является и к оценке не допускается.</w:t>
      </w:r>
    </w:p>
    <w:p>
      <w:pPr>
        <w:spacing w:after="84" w:line="252" w:lineRule="auto"/>
        <w:ind w:left="499" w:hanging="499"/>
      </w:pPr>
      <w:r>
        <w:rPr>
          <w:b/>
        </w:rPr>
        <w:t xml:space="preserve">8.6. </w:t>
      </w:r>
      <w:r>
        <w:t>Организационный комитет сообщает о допуске либо необходимости уточнений по адресу электронной почты, указанному в заявке. Статус Номинанта возникает после своевременной подачи принятой заявки и подтверждения допуска к экспертной оценке.</w:t>
      </w:r>
    </w:p>
    <w:p>
      <w:pPr>
        <w:spacing w:after="84" w:line="252" w:lineRule="auto"/>
        <w:ind w:left="499" w:hanging="499"/>
      </w:pPr>
      <w:r>
        <w:rPr>
          <w:b/>
        </w:rPr>
        <w:t xml:space="preserve">8.7. </w:t>
      </w:r>
      <w:r>
        <w:t>До окончания срока приема анкеты Участник вправе исправить или отозвать материалы. После окончания срока изменения допускаются только для исправления технической ошибки либо по запросу Организационного комитета и не должны улучшать содержание проекта после начала экспертной оценки.</w:t>
      </w:r>
    </w:p>
    <w:p>
      <w:pPr>
        <w:pStyle w:val="Heading1"/>
        <w:pBdr>
          <w:bottom w:val="single" w:sz="6" w:space="3" w:color="D9D9D9"/>
        </w:pBdr>
      </w:pPr>
      <w:r>
        <w:rPr>
          <w:b/>
          <w:color w:val="8A3B52"/>
        </w:rPr>
        <w:t xml:space="preserve">9. </w:t>
      </w:r>
      <w:r>
        <w:rPr>
          <w:b/>
          <w:color w:val="0D0D0D"/>
        </w:rPr>
        <w:t>КОНКУРСНАЯ АНКЕТА И МАТЕРИАЛЫ</w:t>
      </w:r>
    </w:p>
    <w:p>
      <w:pPr>
        <w:spacing w:after="84" w:line="252" w:lineRule="auto"/>
        <w:ind w:left="499" w:hanging="499"/>
      </w:pPr>
      <w:r>
        <w:rPr>
          <w:b/>
        </w:rPr>
        <w:t xml:space="preserve">9.1. </w:t>
      </w:r>
      <w:r>
        <w:t>Анкета состоит из четырех последовательно заполняемых блоков:</w:t>
      </w:r>
    </w:p>
    <w:tbl>
      <w:tblPr>
        <w:tblStyle w:val="TableGrid"/>
        <w:tblW w:type="auto" w:w="0"/>
        <w:jc w:val="center"/>
        <w:tblLayout w:type="fixed"/>
        <w:tblLook w:firstColumn="1" w:firstRow="1" w:lastColumn="0" w:lastRow="0" w:noHBand="0" w:noVBand="1" w:val="04A0"/>
      </w:tblPr>
      <w:tblGrid>
        <w:gridCol w:w="2438"/>
        <w:gridCol w:w="4819"/>
        <w:gridCol w:w="1644"/>
      </w:tblGrid>
      <w:tr>
        <w:trPr>
          <w:tblHeader w:val="true"/>
          <w:cantSplit/>
        </w:trPr>
        <w:tc>
          <w:tcPr>
            <w:tcW w:type="dxa" w:w="2438"/>
            <w:vAlign w:val="center"/>
            <w:shd w:fill="0D0D0D"/>
            <w:tcMar>
              <w:top w:w="90" w:type="dxa"/>
              <w:start w:w="100" w:type="dxa"/>
              <w:bottom w:w="90" w:type="dxa"/>
              <w:end w:w="100" w:type="dxa"/>
            </w:tcMar>
          </w:tcPr>
          <w:p>
            <w:pPr>
              <w:widowControl/>
              <w:spacing w:after="0"/>
              <w:jc w:val="center"/>
            </w:pPr>
            <w:r>
              <w:rPr>
                <w:rFonts w:ascii="Arial" w:hAnsi="Arial"/>
                <w:b/>
                <w:color w:val="FFFFFF"/>
                <w:sz w:val="17"/>
              </w:rPr>
              <w:t>Блок</w:t>
            </w:r>
          </w:p>
        </w:tc>
        <w:tc>
          <w:tcPr>
            <w:tcW w:type="dxa" w:w="4819"/>
            <w:vAlign w:val="center"/>
            <w:shd w:fill="0D0D0D"/>
            <w:tcMar>
              <w:top w:w="90" w:type="dxa"/>
              <w:start w:w="100" w:type="dxa"/>
              <w:bottom w:w="90" w:type="dxa"/>
              <w:end w:w="100" w:type="dxa"/>
            </w:tcMar>
          </w:tcPr>
          <w:p>
            <w:pPr>
              <w:widowControl/>
              <w:spacing w:after="0"/>
              <w:jc w:val="center"/>
            </w:pPr>
            <w:r>
              <w:rPr>
                <w:rFonts w:ascii="Arial" w:hAnsi="Arial"/>
                <w:b/>
                <w:color w:val="FFFFFF"/>
                <w:sz w:val="17"/>
              </w:rPr>
              <w:t>Содержание</w:t>
            </w:r>
          </w:p>
        </w:tc>
        <w:tc>
          <w:tcPr>
            <w:tcW w:type="dxa" w:w="1644"/>
            <w:vAlign w:val="center"/>
            <w:shd w:fill="0D0D0D"/>
            <w:tcMar>
              <w:top w:w="90" w:type="dxa"/>
              <w:start w:w="100" w:type="dxa"/>
              <w:bottom w:w="90" w:type="dxa"/>
              <w:end w:w="100" w:type="dxa"/>
            </w:tcMar>
          </w:tcPr>
          <w:p>
            <w:pPr>
              <w:widowControl/>
              <w:spacing w:after="0"/>
              <w:jc w:val="center"/>
            </w:pPr>
            <w:r>
              <w:rPr>
                <w:rFonts w:ascii="Arial" w:hAnsi="Arial"/>
                <w:b/>
                <w:color w:val="FFFFFF"/>
                <w:sz w:val="17"/>
              </w:rPr>
              <w:t>Вес / роль</w:t>
            </w:r>
          </w:p>
        </w:tc>
      </w:tr>
      <w:tr>
        <w:trPr>
          <w:cantSplit/>
        </w:trPr>
        <w:tc>
          <w:tcPr>
            <w:tcW w:type="dxa" w:w="2438"/>
            <w:vAlign w:val="top"/>
            <w:tcMar>
              <w:top w:w="90" w:type="dxa"/>
              <w:start w:w="100" w:type="dxa"/>
              <w:bottom w:w="90" w:type="dxa"/>
              <w:end w:w="100" w:type="dxa"/>
            </w:tcMar>
            <w:shd w:fill="F7F7F7"/>
          </w:tcPr>
          <w:p>
            <w:pPr>
              <w:widowControl/>
              <w:spacing w:after="0" w:line="240" w:lineRule="auto"/>
            </w:pPr>
            <w:r>
              <w:rPr>
                <w:rFonts w:ascii="Arial" w:hAnsi="Arial"/>
                <w:sz w:val="17"/>
              </w:rPr>
              <w:t>1. Общие сведения</w:t>
            </w:r>
          </w:p>
        </w:tc>
        <w:tc>
          <w:tcPr>
            <w:tcW w:type="dxa" w:w="4819"/>
            <w:vAlign w:val="top"/>
            <w:tcMar>
              <w:top w:w="90" w:type="dxa"/>
              <w:start w:w="100" w:type="dxa"/>
              <w:bottom w:w="90" w:type="dxa"/>
              <w:end w:w="100" w:type="dxa"/>
            </w:tcMar>
            <w:shd w:fill="F7F7F7"/>
          </w:tcPr>
          <w:p>
            <w:pPr>
              <w:widowControl/>
              <w:spacing w:after="0" w:line="240" w:lineRule="auto"/>
            </w:pPr>
            <w:r>
              <w:rPr>
                <w:rFonts w:ascii="Arial" w:hAnsi="Arial"/>
                <w:sz w:val="17"/>
              </w:rPr>
              <w:t>номинация и контекст организации</w:t>
            </w:r>
          </w:p>
        </w:tc>
        <w:tc>
          <w:tcPr>
            <w:tcW w:type="dxa" w:w="1644"/>
            <w:vAlign w:val="top"/>
            <w:tcMar>
              <w:top w:w="90" w:type="dxa"/>
              <w:start w:w="100" w:type="dxa"/>
              <w:bottom w:w="90" w:type="dxa"/>
              <w:end w:w="100" w:type="dxa"/>
            </w:tcMar>
            <w:shd w:fill="F7F7F7"/>
          </w:tcPr>
          <w:p>
            <w:pPr>
              <w:widowControl/>
              <w:spacing w:after="0" w:line="240" w:lineRule="auto"/>
            </w:pPr>
            <w:r>
              <w:rPr>
                <w:rFonts w:ascii="Arial" w:hAnsi="Arial"/>
                <w:sz w:val="17"/>
              </w:rPr>
              <w:t>не оценивается</w:t>
            </w:r>
          </w:p>
        </w:tc>
      </w:tr>
      <w:tr>
        <w:trPr>
          <w:cantSplit/>
        </w:trPr>
        <w:tc>
          <w:tcPr>
            <w:tcW w:type="dxa" w:w="2438"/>
            <w:vAlign w:val="top"/>
            <w:tcMar>
              <w:top w:w="90" w:type="dxa"/>
              <w:start w:w="100" w:type="dxa"/>
              <w:bottom w:w="90" w:type="dxa"/>
              <w:end w:w="100" w:type="dxa"/>
            </w:tcMar>
            <w:shd w:fill="F3E9EC"/>
          </w:tcPr>
          <w:p>
            <w:pPr>
              <w:widowControl/>
              <w:spacing w:after="0" w:line="240" w:lineRule="auto"/>
            </w:pPr>
            <w:r>
              <w:rPr>
                <w:rFonts w:ascii="Arial" w:hAnsi="Arial"/>
                <w:sz w:val="17"/>
              </w:rPr>
              <w:t>2. HR-департамент</w:t>
            </w:r>
          </w:p>
        </w:tc>
        <w:tc>
          <w:tcPr>
            <w:tcW w:type="dxa" w:w="4819"/>
            <w:vAlign w:val="top"/>
            <w:tcMar>
              <w:top w:w="90" w:type="dxa"/>
              <w:start w:w="100" w:type="dxa"/>
              <w:bottom w:w="90" w:type="dxa"/>
              <w:end w:w="100" w:type="dxa"/>
            </w:tcMar>
            <w:shd w:fill="F3E9EC"/>
          </w:tcPr>
          <w:p>
            <w:pPr>
              <w:widowControl/>
              <w:spacing w:after="0" w:line="240" w:lineRule="auto"/>
            </w:pPr>
            <w:r>
              <w:rPr>
                <w:rFonts w:ascii="Arial" w:hAnsi="Arial"/>
                <w:sz w:val="17"/>
              </w:rPr>
              <w:t>зрелость, влияние, процессы, данные, команда и результат</w:t>
            </w:r>
          </w:p>
        </w:tc>
        <w:tc>
          <w:tcPr>
            <w:tcW w:type="dxa" w:w="1644"/>
            <w:vAlign w:val="top"/>
            <w:tcMar>
              <w:top w:w="90" w:type="dxa"/>
              <w:start w:w="100" w:type="dxa"/>
              <w:bottom w:w="90" w:type="dxa"/>
              <w:end w:w="100" w:type="dxa"/>
            </w:tcMar>
            <w:shd w:fill="F3E9EC"/>
          </w:tcPr>
          <w:p>
            <w:pPr>
              <w:widowControl/>
              <w:spacing w:after="0" w:line="240" w:lineRule="auto"/>
            </w:pPr>
            <w:r>
              <w:rPr>
                <w:rFonts w:ascii="Arial" w:hAnsi="Arial"/>
                <w:sz w:val="17"/>
              </w:rPr>
              <w:t>20 баллов</w:t>
            </w:r>
          </w:p>
        </w:tc>
      </w:tr>
      <w:tr>
        <w:trPr>
          <w:cantSplit/>
        </w:trPr>
        <w:tc>
          <w:tcPr>
            <w:tcW w:type="dxa" w:w="2438"/>
            <w:vAlign w:val="top"/>
            <w:tcMar>
              <w:top w:w="90" w:type="dxa"/>
              <w:start w:w="100" w:type="dxa"/>
              <w:bottom w:w="90" w:type="dxa"/>
              <w:end w:w="100" w:type="dxa"/>
            </w:tcMar>
            <w:shd w:fill="F7F7F7"/>
          </w:tcPr>
          <w:p>
            <w:pPr>
              <w:widowControl/>
              <w:spacing w:after="0" w:line="240" w:lineRule="auto"/>
            </w:pPr>
            <w:r>
              <w:rPr>
                <w:rFonts w:ascii="Arial" w:hAnsi="Arial"/>
                <w:sz w:val="17"/>
              </w:rPr>
              <w:t>3. Проект</w:t>
            </w:r>
          </w:p>
        </w:tc>
        <w:tc>
          <w:tcPr>
            <w:tcW w:type="dxa" w:w="4819"/>
            <w:vAlign w:val="top"/>
            <w:tcMar>
              <w:top w:w="90" w:type="dxa"/>
              <w:start w:w="100" w:type="dxa"/>
              <w:bottom w:w="90" w:type="dxa"/>
              <w:end w:w="100" w:type="dxa"/>
            </w:tcMar>
            <w:shd w:fill="F7F7F7"/>
          </w:tcPr>
          <w:p>
            <w:pPr>
              <w:widowControl/>
              <w:spacing w:after="0" w:line="240" w:lineRule="auto"/>
            </w:pPr>
            <w:r>
              <w:rPr>
                <w:rFonts w:ascii="Arial" w:hAnsi="Arial"/>
                <w:sz w:val="17"/>
              </w:rPr>
              <w:t>задача, решение, внедрение, результаты, доказательства, устойчивость и риски</w:t>
            </w:r>
          </w:p>
        </w:tc>
        <w:tc>
          <w:tcPr>
            <w:tcW w:type="dxa" w:w="1644"/>
            <w:vAlign w:val="top"/>
            <w:tcMar>
              <w:top w:w="90" w:type="dxa"/>
              <w:start w:w="100" w:type="dxa"/>
              <w:bottom w:w="90" w:type="dxa"/>
              <w:end w:w="100" w:type="dxa"/>
            </w:tcMar>
            <w:shd w:fill="F7F7F7"/>
          </w:tcPr>
          <w:p>
            <w:pPr>
              <w:widowControl/>
              <w:spacing w:after="0" w:line="240" w:lineRule="auto"/>
            </w:pPr>
            <w:r>
              <w:rPr>
                <w:rFonts w:ascii="Arial" w:hAnsi="Arial"/>
                <w:sz w:val="17"/>
              </w:rPr>
              <w:t>80 баллов</w:t>
            </w:r>
          </w:p>
        </w:tc>
      </w:tr>
      <w:tr>
        <w:trPr>
          <w:cantSplit/>
        </w:trPr>
        <w:tc>
          <w:tcPr>
            <w:tcW w:type="dxa" w:w="2438"/>
            <w:vAlign w:val="top"/>
            <w:tcMar>
              <w:top w:w="90" w:type="dxa"/>
              <w:start w:w="100" w:type="dxa"/>
              <w:bottom w:w="90" w:type="dxa"/>
              <w:end w:w="100" w:type="dxa"/>
            </w:tcMar>
            <w:shd w:fill="F3E9EC"/>
          </w:tcPr>
          <w:p>
            <w:pPr>
              <w:widowControl/>
              <w:spacing w:after="0" w:line="240" w:lineRule="auto"/>
            </w:pPr>
            <w:r>
              <w:rPr>
                <w:rFonts w:ascii="Arial" w:hAnsi="Arial"/>
                <w:sz w:val="17"/>
              </w:rPr>
              <w:t>4. Вопросы по номинации</w:t>
            </w:r>
          </w:p>
        </w:tc>
        <w:tc>
          <w:tcPr>
            <w:tcW w:type="dxa" w:w="4819"/>
            <w:vAlign w:val="top"/>
            <w:tcMar>
              <w:top w:w="90" w:type="dxa"/>
              <w:start w:w="100" w:type="dxa"/>
              <w:bottom w:w="90" w:type="dxa"/>
              <w:end w:w="100" w:type="dxa"/>
            </w:tcMar>
            <w:shd w:fill="F3E9EC"/>
          </w:tcPr>
          <w:p>
            <w:pPr>
              <w:widowControl/>
              <w:spacing w:after="0" w:line="240" w:lineRule="auto"/>
            </w:pPr>
            <w:r>
              <w:rPr>
                <w:rFonts w:ascii="Arial" w:hAnsi="Arial"/>
                <w:sz w:val="17"/>
              </w:rPr>
              <w:t>10 критериев зрелости выбранного направления</w:t>
            </w:r>
          </w:p>
        </w:tc>
        <w:tc>
          <w:tcPr>
            <w:tcW w:type="dxa" w:w="1644"/>
            <w:vAlign w:val="top"/>
            <w:tcMar>
              <w:top w:w="90" w:type="dxa"/>
              <w:start w:w="100" w:type="dxa"/>
              <w:bottom w:w="90" w:type="dxa"/>
              <w:end w:w="100" w:type="dxa"/>
            </w:tcMar>
            <w:shd w:fill="F3E9EC"/>
          </w:tcPr>
          <w:p>
            <w:pPr>
              <w:widowControl/>
              <w:spacing w:after="0" w:line="240" w:lineRule="auto"/>
            </w:pPr>
            <w:r>
              <w:rPr>
                <w:rFonts w:ascii="Arial" w:hAnsi="Arial"/>
                <w:sz w:val="17"/>
              </w:rPr>
              <w:t>до 5 бонусных баллов</w:t>
            </w:r>
          </w:p>
        </w:tc>
      </w:tr>
    </w:tbl>
    <w:p>
      <w:pPr>
        <w:spacing w:after="0"/>
      </w:pPr>
    </w:p>
    <w:p>
      <w:pPr>
        <w:spacing w:after="84" w:line="252" w:lineRule="auto"/>
        <w:ind w:left="499" w:hanging="499"/>
      </w:pPr>
      <w:r>
        <w:rPr>
          <w:b/>
        </w:rPr>
        <w:t xml:space="preserve">9.2. </w:t>
      </w:r>
      <w:r>
        <w:t>Общие сведения используются для проверки допуска, понимания контекста и, при необходимости, формирования сопоставимых подкатегорий. Форма собственности, выручка, численность, география и международный статус не дают конкурсных баллов.</w:t>
      </w:r>
    </w:p>
    <w:p>
      <w:pPr>
        <w:spacing w:after="84" w:line="252" w:lineRule="auto"/>
        <w:ind w:left="499" w:hanging="499"/>
      </w:pPr>
      <w:r>
        <w:rPr>
          <w:b/>
        </w:rPr>
        <w:t xml:space="preserve">9.3. </w:t>
      </w:r>
      <w:r>
        <w:t>Блок «HR-департамент» содержит преимущественно закрытые вопросы. Балл рассчитывается автоматически по заранее утвержденному ключу и нормируется до максимума 20 баллов.</w:t>
      </w:r>
    </w:p>
    <w:p>
      <w:pPr>
        <w:spacing w:after="84" w:line="252" w:lineRule="auto"/>
        <w:ind w:left="499" w:hanging="499"/>
      </w:pPr>
      <w:r>
        <w:rPr>
          <w:b/>
        </w:rPr>
        <w:t xml:space="preserve">9.4. </w:t>
      </w:r>
      <w:r>
        <w:t>Блок «Проект» содержит 18 структурированных развернутых вопросов. Участник описывает исходную проблему, цель и показатели, целевую аудиторию и охват, решение, новизну или качество адаптации, период и этапы, роли, ресурсы, изменения при внедрении, результаты, бизнес-эффект, доказательства, обратную связь, трудности, устойчивость, выводы и нежелательные последствия или побочные риски.</w:t>
      </w:r>
    </w:p>
    <w:p>
      <w:pPr>
        <w:spacing w:after="84" w:line="252" w:lineRule="auto"/>
        <w:ind w:left="499" w:hanging="499"/>
      </w:pPr>
      <w:r>
        <w:rPr>
          <w:b/>
        </w:rPr>
        <w:t xml:space="preserve">9.5. </w:t>
      </w:r>
      <w:r>
        <w:t>Допускается представление не только разового проекта с формальной датой запуска, но и постоянной практики. В таком случае Участник указывает период, с которого практика действует и непрерывно развивается, ключевые этапы улучшений, текущий статус и период измерения результатов.</w:t>
      </w:r>
    </w:p>
    <w:p>
      <w:pPr>
        <w:spacing w:after="84" w:line="252" w:lineRule="auto"/>
        <w:ind w:left="499" w:hanging="499"/>
      </w:pPr>
      <w:r>
        <w:rPr>
          <w:b/>
        </w:rPr>
        <w:t xml:space="preserve">9.6. </w:t>
      </w:r>
      <w:r>
        <w:t>Охват конкретного проекта раскрывается только в блоке «Проект»: целевая аудитория, количество и доля охваченных работников, подразделения и регионы. Общая численность и география организации в блоке «Общие сведения» не заменяют этот ответ.</w:t>
      </w:r>
    </w:p>
    <w:p>
      <w:pPr>
        <w:spacing w:after="84" w:line="252" w:lineRule="auto"/>
        <w:ind w:left="499" w:hanging="499"/>
      </w:pPr>
      <w:r>
        <w:rPr>
          <w:b/>
        </w:rPr>
        <w:t xml:space="preserve">9.7. </w:t>
      </w:r>
      <w:r>
        <w:t>Блок «Вопросы по номинации» заполняется только для выбранной номинации. По каждому из 10 критериев Участник выбирает уровень 0, 25, 50, 75 или 100 процентов и тип подтверждения. Средний результат блока преобразуется в бонус от 0 до 5 баллов.</w:t>
      </w:r>
    </w:p>
    <w:p>
      <w:pPr>
        <w:spacing w:after="84" w:line="252" w:lineRule="auto"/>
        <w:ind w:left="499" w:hanging="499"/>
      </w:pPr>
      <w:r>
        <w:rPr>
          <w:b/>
        </w:rPr>
        <w:t xml:space="preserve">9.8. </w:t>
      </w:r>
      <w:r>
        <w:t>Участник обязан отвечать полно и достоверно, указывать сопоставимые периоды, исходные и фактические значения, методику расчетов и ограничения данных. Если финансовый эффект нельзя корректно рассчитать, допускается обоснованный нефинансовый показатель.</w:t>
      </w:r>
    </w:p>
    <w:p>
      <w:pPr>
        <w:spacing w:after="84" w:line="252" w:lineRule="auto"/>
        <w:ind w:left="499" w:hanging="499"/>
      </w:pPr>
      <w:r>
        <w:rPr>
          <w:b/>
        </w:rPr>
        <w:t xml:space="preserve">9.9. </w:t>
      </w:r>
      <w:r>
        <w:t>Подтверждающие материалы могут включать внутренние отчеты и выгрузки, утвержденные документы, информационные панели, результаты исследований, аудита или иные проверяемые источники. Рекламные утверждения, награды и внешние сертификаты сами по себе не доказывают результат проекта.</w:t>
      </w:r>
    </w:p>
    <w:p>
      <w:pPr>
        <w:spacing w:after="84" w:line="252" w:lineRule="auto"/>
        <w:ind w:left="499" w:hanging="499"/>
      </w:pPr>
      <w:r>
        <w:rPr>
          <w:b/>
        </w:rPr>
        <w:t xml:space="preserve">9.10. </w:t>
      </w:r>
      <w:r>
        <w:t>Проектные ответы, направляемые экспертам, должны быть обезличены: без названия организации, бренда, продукта, уникального адреса, Ф.И.О. и иных прямых идентификаторов. Организационный комитет может запросить корректировку или самостоятельно скрыть идентификаторы без изменения смысла.</w:t>
      </w:r>
    </w:p>
    <w:p>
      <w:pPr>
        <w:spacing w:after="84" w:line="252" w:lineRule="auto"/>
        <w:ind w:left="499" w:hanging="499"/>
      </w:pPr>
      <w:r>
        <w:rPr>
          <w:b/>
        </w:rPr>
        <w:t xml:space="preserve">9.11. </w:t>
      </w:r>
      <w:r>
        <w:t>В анкету и приложения не включаются персональные данные работников, кандидатов и клиентов, коммерческая тайна и сведения третьих лиц, если у Участника нет законного основания для их передачи. При необходимости используются агрегирование, маскирование и обезличивание.</w:t>
      </w:r>
    </w:p>
    <w:p>
      <w:pPr>
        <w:pStyle w:val="Heading1"/>
        <w:pBdr>
          <w:bottom w:val="single" w:sz="6" w:space="3" w:color="D9D9D9"/>
        </w:pBdr>
      </w:pPr>
      <w:r>
        <w:rPr>
          <w:b/>
          <w:color w:val="8A3B52"/>
        </w:rPr>
        <w:t xml:space="preserve">10. </w:t>
      </w:r>
      <w:r>
        <w:rPr>
          <w:b/>
          <w:color w:val="0D0D0D"/>
        </w:rPr>
        <w:t>МЕТОДИКА ЭКСПЕРТНОЙ ОЦЕНКИ</w:t>
      </w:r>
    </w:p>
    <w:p>
      <w:pPr>
        <w:spacing w:after="84" w:line="252" w:lineRule="auto"/>
        <w:ind w:left="499" w:hanging="499"/>
      </w:pPr>
      <w:r>
        <w:rPr>
          <w:b/>
        </w:rPr>
        <w:t xml:space="preserve">10.1. </w:t>
      </w:r>
      <w:r>
        <w:t>Базовая оценка составляет 100 баллов: 20 баллов за блок «HR-департамент» и 80 баллов за блок «Проект». Дополнительно может быть начислено до 5 бонусных баллов за зрелость направления выбранной номинации. Максимальный итог — 105 баллов.</w:t>
      </w:r>
    </w:p>
    <w:p>
      <w:pPr>
        <w:spacing w:after="84" w:line="252" w:lineRule="auto"/>
        <w:ind w:left="499" w:hanging="499"/>
      </w:pPr>
      <w:r>
        <w:rPr>
          <w:b/>
        </w:rPr>
        <w:t xml:space="preserve">10.2. </w:t>
      </w:r>
      <w:r>
        <w:t>Эксперты оценивают проект по шкале от 0 до 5 баллов. Каждый уровень описывает наблюдаемую степень внедрения и подтвержденности результата:</w:t>
      </w:r>
    </w:p>
    <w:tbl>
      <w:tblPr>
        <w:tblStyle w:val="TableGrid"/>
        <w:tblW w:type="auto" w:w="0"/>
        <w:jc w:val="center"/>
        <w:tblLayout w:type="fixed"/>
        <w:tblLook w:firstColumn="1" w:firstRow="1" w:lastColumn="0" w:lastRow="0" w:noHBand="0" w:noVBand="1" w:val="04A0"/>
      </w:tblPr>
      <w:tblGrid>
        <w:gridCol w:w="793"/>
        <w:gridCol w:w="8108"/>
      </w:tblGrid>
      <w:tr>
        <w:trPr>
          <w:tblHeader w:val="true"/>
          <w:cantSplit/>
        </w:trPr>
        <w:tc>
          <w:tcPr>
            <w:tcW w:type="dxa" w:w="794"/>
            <w:vAlign w:val="center"/>
            <w:shd w:fill="0D0D0D"/>
            <w:tcMar>
              <w:top w:w="90" w:type="dxa"/>
              <w:start w:w="100" w:type="dxa"/>
              <w:bottom w:w="90" w:type="dxa"/>
              <w:end w:w="100" w:type="dxa"/>
            </w:tcMar>
          </w:tcPr>
          <w:p>
            <w:pPr>
              <w:widowControl/>
              <w:spacing w:after="0"/>
              <w:jc w:val="center"/>
            </w:pPr>
            <w:r>
              <w:rPr>
                <w:rFonts w:ascii="Arial" w:hAnsi="Arial"/>
                <w:b/>
                <w:color w:val="FFFFFF"/>
                <w:sz w:val="17"/>
              </w:rPr>
              <w:t>Балл</w:t>
            </w:r>
          </w:p>
        </w:tc>
        <w:tc>
          <w:tcPr>
            <w:tcW w:type="dxa" w:w="8107"/>
            <w:vAlign w:val="center"/>
            <w:shd w:fill="0D0D0D"/>
            <w:tcMar>
              <w:top w:w="90" w:type="dxa"/>
              <w:start w:w="100" w:type="dxa"/>
              <w:bottom w:w="90" w:type="dxa"/>
              <w:end w:w="100" w:type="dxa"/>
            </w:tcMar>
          </w:tcPr>
          <w:p>
            <w:pPr>
              <w:widowControl/>
              <w:spacing w:after="0"/>
              <w:jc w:val="center"/>
            </w:pPr>
            <w:r>
              <w:rPr>
                <w:rFonts w:ascii="Arial" w:hAnsi="Arial"/>
                <w:b/>
                <w:color w:val="FFFFFF"/>
                <w:sz w:val="17"/>
              </w:rPr>
              <w:t>Поведенческое описание уровня</w:t>
            </w:r>
          </w:p>
        </w:tc>
      </w:tr>
      <w:tr>
        <w:trPr>
          <w:cantSplit/>
        </w:trPr>
        <w:tc>
          <w:tcPr>
            <w:tcW w:type="dxa" w:w="794"/>
            <w:vAlign w:val="top"/>
            <w:tcMar>
              <w:top w:w="90" w:type="dxa"/>
              <w:start w:w="100" w:type="dxa"/>
              <w:bottom w:w="90" w:type="dxa"/>
              <w:end w:w="100" w:type="dxa"/>
            </w:tcMar>
            <w:shd w:fill="F7F7F7"/>
          </w:tcPr>
          <w:p>
            <w:pPr>
              <w:widowControl/>
              <w:spacing w:after="0" w:line="240" w:lineRule="auto"/>
            </w:pPr>
            <w:r>
              <w:rPr>
                <w:rFonts w:ascii="Arial" w:hAnsi="Arial"/>
                <w:sz w:val="17"/>
              </w:rPr>
              <w:t>0</w:t>
            </w:r>
          </w:p>
        </w:tc>
        <w:tc>
          <w:tcPr>
            <w:tcW w:type="dxa" w:w="8107"/>
            <w:vAlign w:val="top"/>
            <w:tcMar>
              <w:top w:w="90" w:type="dxa"/>
              <w:start w:w="100" w:type="dxa"/>
              <w:bottom w:w="90" w:type="dxa"/>
              <w:end w:w="100" w:type="dxa"/>
            </w:tcMar>
            <w:shd w:fill="F7F7F7"/>
          </w:tcPr>
          <w:p>
            <w:pPr>
              <w:widowControl/>
              <w:spacing w:after="0" w:line="240" w:lineRule="auto"/>
            </w:pPr>
            <w:r>
              <w:rPr>
                <w:rFonts w:ascii="Arial" w:hAnsi="Arial"/>
                <w:sz w:val="17"/>
              </w:rPr>
              <w:t>Ответ отсутствует, не относится к критерию, не подтвержден либо содержит существенные противоречия.</w:t>
            </w:r>
          </w:p>
        </w:tc>
      </w:tr>
      <w:tr>
        <w:trPr>
          <w:cantSplit/>
        </w:trPr>
        <w:tc>
          <w:tcPr>
            <w:tcW w:type="dxa" w:w="794"/>
            <w:vAlign w:val="top"/>
            <w:tcMar>
              <w:top w:w="90" w:type="dxa"/>
              <w:start w:w="100" w:type="dxa"/>
              <w:bottom w:w="90" w:type="dxa"/>
              <w:end w:w="100" w:type="dxa"/>
            </w:tcMar>
            <w:shd w:fill="F3E9EC"/>
          </w:tcPr>
          <w:p>
            <w:pPr>
              <w:widowControl/>
              <w:spacing w:after="0" w:line="240" w:lineRule="auto"/>
            </w:pPr>
            <w:r>
              <w:rPr>
                <w:rFonts w:ascii="Arial" w:hAnsi="Arial"/>
                <w:sz w:val="17"/>
              </w:rPr>
              <w:t>1</w:t>
            </w:r>
          </w:p>
        </w:tc>
        <w:tc>
          <w:tcPr>
            <w:tcW w:type="dxa" w:w="8107"/>
            <w:vAlign w:val="top"/>
            <w:tcMar>
              <w:top w:w="90" w:type="dxa"/>
              <w:start w:w="100" w:type="dxa"/>
              <w:bottom w:w="90" w:type="dxa"/>
              <w:end w:w="100" w:type="dxa"/>
            </w:tcMar>
            <w:shd w:fill="F3E9EC"/>
          </w:tcPr>
          <w:p>
            <w:pPr>
              <w:widowControl/>
              <w:spacing w:after="0" w:line="240" w:lineRule="auto"/>
            </w:pPr>
            <w:r>
              <w:rPr>
                <w:rFonts w:ascii="Arial" w:hAnsi="Arial"/>
                <w:sz w:val="17"/>
              </w:rPr>
              <w:t>Есть отдельная идея или единичное действие; устойчивого процесса, ответственных и измеримого результата нет.</w:t>
            </w:r>
          </w:p>
        </w:tc>
      </w:tr>
      <w:tr>
        <w:trPr>
          <w:cantSplit/>
        </w:trPr>
        <w:tc>
          <w:tcPr>
            <w:tcW w:type="dxa" w:w="794"/>
            <w:vAlign w:val="top"/>
            <w:tcMar>
              <w:top w:w="90" w:type="dxa"/>
              <w:start w:w="100" w:type="dxa"/>
              <w:bottom w:w="90" w:type="dxa"/>
              <w:end w:w="100" w:type="dxa"/>
            </w:tcMar>
            <w:shd w:fill="F7F7F7"/>
          </w:tcPr>
          <w:p>
            <w:pPr>
              <w:widowControl/>
              <w:spacing w:after="0" w:line="240" w:lineRule="auto"/>
            </w:pPr>
            <w:r>
              <w:rPr>
                <w:rFonts w:ascii="Arial" w:hAnsi="Arial"/>
                <w:sz w:val="17"/>
              </w:rPr>
              <w:t>2</w:t>
            </w:r>
          </w:p>
        </w:tc>
        <w:tc>
          <w:tcPr>
            <w:tcW w:type="dxa" w:w="8107"/>
            <w:vAlign w:val="top"/>
            <w:tcMar>
              <w:top w:w="90" w:type="dxa"/>
              <w:start w:w="100" w:type="dxa"/>
              <w:bottom w:w="90" w:type="dxa"/>
              <w:end w:w="100" w:type="dxa"/>
            </w:tcMar>
            <w:shd w:fill="F7F7F7"/>
          </w:tcPr>
          <w:p>
            <w:pPr>
              <w:widowControl/>
              <w:spacing w:after="0" w:line="240" w:lineRule="auto"/>
            </w:pPr>
            <w:r>
              <w:rPr>
                <w:rFonts w:ascii="Arial" w:hAnsi="Arial"/>
                <w:sz w:val="17"/>
              </w:rPr>
              <w:t>Есть пилот или отдельные элементы; ответственные определены, но охват, устойчивость или доказательства ограничены.</w:t>
            </w:r>
          </w:p>
        </w:tc>
      </w:tr>
      <w:tr>
        <w:trPr>
          <w:cantSplit/>
        </w:trPr>
        <w:tc>
          <w:tcPr>
            <w:tcW w:type="dxa" w:w="794"/>
            <w:vAlign w:val="top"/>
            <w:tcMar>
              <w:top w:w="90" w:type="dxa"/>
              <w:start w:w="100" w:type="dxa"/>
              <w:bottom w:w="90" w:type="dxa"/>
              <w:end w:w="100" w:type="dxa"/>
            </w:tcMar>
            <w:shd w:fill="F3E9EC"/>
          </w:tcPr>
          <w:p>
            <w:pPr>
              <w:widowControl/>
              <w:spacing w:after="0" w:line="240" w:lineRule="auto"/>
            </w:pPr>
            <w:r>
              <w:rPr>
                <w:rFonts w:ascii="Arial" w:hAnsi="Arial"/>
                <w:sz w:val="17"/>
              </w:rPr>
              <w:t>3</w:t>
            </w:r>
          </w:p>
        </w:tc>
        <w:tc>
          <w:tcPr>
            <w:tcW w:type="dxa" w:w="8107"/>
            <w:vAlign w:val="top"/>
            <w:tcMar>
              <w:top w:w="90" w:type="dxa"/>
              <w:start w:w="100" w:type="dxa"/>
              <w:bottom w:w="90" w:type="dxa"/>
              <w:end w:w="100" w:type="dxa"/>
            </w:tcMar>
            <w:shd w:fill="F3E9EC"/>
          </w:tcPr>
          <w:p>
            <w:pPr>
              <w:widowControl/>
              <w:spacing w:after="0" w:line="240" w:lineRule="auto"/>
            </w:pPr>
            <w:r>
              <w:rPr>
                <w:rFonts w:ascii="Arial" w:hAnsi="Arial"/>
                <w:sz w:val="17"/>
              </w:rPr>
              <w:t>Практика внедрена системно; есть процесс, ответственные, целевой охват и основные метрики.</w:t>
            </w:r>
          </w:p>
        </w:tc>
      </w:tr>
      <w:tr>
        <w:trPr>
          <w:cantSplit/>
        </w:trPr>
        <w:tc>
          <w:tcPr>
            <w:tcW w:type="dxa" w:w="794"/>
            <w:vAlign w:val="top"/>
            <w:tcMar>
              <w:top w:w="90" w:type="dxa"/>
              <w:start w:w="100" w:type="dxa"/>
              <w:bottom w:w="90" w:type="dxa"/>
              <w:end w:w="100" w:type="dxa"/>
            </w:tcMar>
            <w:shd w:fill="F7F7F7"/>
          </w:tcPr>
          <w:p>
            <w:pPr>
              <w:widowControl/>
              <w:spacing w:after="0" w:line="240" w:lineRule="auto"/>
            </w:pPr>
            <w:r>
              <w:rPr>
                <w:rFonts w:ascii="Arial" w:hAnsi="Arial"/>
                <w:sz w:val="17"/>
              </w:rPr>
              <w:t>4</w:t>
            </w:r>
          </w:p>
        </w:tc>
        <w:tc>
          <w:tcPr>
            <w:tcW w:type="dxa" w:w="8107"/>
            <w:vAlign w:val="top"/>
            <w:tcMar>
              <w:top w:w="90" w:type="dxa"/>
              <w:start w:w="100" w:type="dxa"/>
              <w:bottom w:w="90" w:type="dxa"/>
              <w:end w:w="100" w:type="dxa"/>
            </w:tcMar>
            <w:shd w:fill="F7F7F7"/>
          </w:tcPr>
          <w:p>
            <w:pPr>
              <w:widowControl/>
              <w:spacing w:after="0" w:line="240" w:lineRule="auto"/>
            </w:pPr>
            <w:r>
              <w:rPr>
                <w:rFonts w:ascii="Arial" w:hAnsi="Arial"/>
                <w:sz w:val="17"/>
              </w:rPr>
              <w:t>Практика управляется по данным; результат сопоставлен с исходным уровнем и целью, решения корректируются, связь с эффектом показана.</w:t>
            </w:r>
          </w:p>
        </w:tc>
      </w:tr>
      <w:tr>
        <w:trPr>
          <w:cantSplit/>
        </w:trPr>
        <w:tc>
          <w:tcPr>
            <w:tcW w:type="dxa" w:w="794"/>
            <w:vAlign w:val="top"/>
            <w:tcMar>
              <w:top w:w="90" w:type="dxa"/>
              <w:start w:w="100" w:type="dxa"/>
              <w:bottom w:w="90" w:type="dxa"/>
              <w:end w:w="100" w:type="dxa"/>
            </w:tcMar>
            <w:shd w:fill="F3E9EC"/>
          </w:tcPr>
          <w:p>
            <w:pPr>
              <w:widowControl/>
              <w:spacing w:after="0" w:line="240" w:lineRule="auto"/>
            </w:pPr>
            <w:r>
              <w:rPr>
                <w:rFonts w:ascii="Arial" w:hAnsi="Arial"/>
                <w:sz w:val="17"/>
              </w:rPr>
              <w:t>5</w:t>
            </w:r>
          </w:p>
        </w:tc>
        <w:tc>
          <w:tcPr>
            <w:tcW w:type="dxa" w:w="8107"/>
            <w:vAlign w:val="top"/>
            <w:tcMar>
              <w:top w:w="90" w:type="dxa"/>
              <w:start w:w="100" w:type="dxa"/>
              <w:bottom w:w="90" w:type="dxa"/>
              <w:end w:w="100" w:type="dxa"/>
            </w:tcMar>
            <w:shd w:fill="F3E9EC"/>
          </w:tcPr>
          <w:p>
            <w:pPr>
              <w:widowControl/>
              <w:spacing w:after="0" w:line="240" w:lineRule="auto"/>
            </w:pPr>
            <w:r>
              <w:rPr>
                <w:rFonts w:ascii="Arial" w:hAnsi="Arial"/>
                <w:sz w:val="17"/>
              </w:rPr>
              <w:t>Подтвержден устойчивый эффект во времени; практика регулярно улучшается, масштабируется или воспроизводится в сопоставимом контексте.</w:t>
            </w:r>
          </w:p>
        </w:tc>
      </w:tr>
    </w:tbl>
    <w:p>
      <w:pPr>
        <w:spacing w:after="0"/>
      </w:pPr>
    </w:p>
    <w:p>
      <w:pPr>
        <w:spacing w:after="84" w:line="252" w:lineRule="auto"/>
        <w:ind w:left="499" w:hanging="499"/>
      </w:pPr>
      <w:r>
        <w:rPr>
          <w:b/>
        </w:rPr>
        <w:t xml:space="preserve">10.3. </w:t>
      </w:r>
      <w:r>
        <w:t>Проект оценивается по шести критериям:</w:t>
      </w:r>
    </w:p>
    <w:tbl>
      <w:tblPr>
        <w:tblStyle w:val="TableGrid"/>
        <w:tblW w:type="auto" w:w="0"/>
        <w:jc w:val="center"/>
        <w:tblLayout w:type="fixed"/>
        <w:tblLook w:firstColumn="1" w:firstRow="1" w:lastColumn="0" w:lastRow="0" w:noHBand="0" w:noVBand="1" w:val="04A0"/>
      </w:tblPr>
      <w:tblGrid>
        <w:gridCol w:w="2268"/>
        <w:gridCol w:w="5613"/>
        <w:gridCol w:w="1020"/>
      </w:tblGrid>
      <w:tr>
        <w:trPr>
          <w:tblHeader w:val="true"/>
          <w:cantSplit/>
        </w:trPr>
        <w:tc>
          <w:tcPr>
            <w:tcW w:type="dxa" w:w="2268"/>
            <w:vAlign w:val="center"/>
            <w:shd w:fill="0D0D0D"/>
            <w:tcMar>
              <w:top w:w="90" w:type="dxa"/>
              <w:start w:w="100" w:type="dxa"/>
              <w:bottom w:w="90" w:type="dxa"/>
              <w:end w:w="100" w:type="dxa"/>
            </w:tcMar>
          </w:tcPr>
          <w:p>
            <w:pPr>
              <w:widowControl/>
              <w:spacing w:after="0"/>
              <w:jc w:val="center"/>
            </w:pPr>
            <w:r>
              <w:rPr>
                <w:rFonts w:ascii="Arial" w:hAnsi="Arial"/>
                <w:b/>
                <w:color w:val="FFFFFF"/>
                <w:sz w:val="17"/>
              </w:rPr>
              <w:t>Критерий</w:t>
            </w:r>
          </w:p>
        </w:tc>
        <w:tc>
          <w:tcPr>
            <w:tcW w:type="dxa" w:w="5613"/>
            <w:vAlign w:val="center"/>
            <w:shd w:fill="0D0D0D"/>
            <w:tcMar>
              <w:top w:w="90" w:type="dxa"/>
              <w:start w:w="100" w:type="dxa"/>
              <w:bottom w:w="90" w:type="dxa"/>
              <w:end w:w="100" w:type="dxa"/>
            </w:tcMar>
          </w:tcPr>
          <w:p>
            <w:pPr>
              <w:widowControl/>
              <w:spacing w:after="0"/>
              <w:jc w:val="center"/>
            </w:pPr>
            <w:r>
              <w:rPr>
                <w:rFonts w:ascii="Arial" w:hAnsi="Arial"/>
                <w:b/>
                <w:color w:val="FFFFFF"/>
                <w:sz w:val="17"/>
              </w:rPr>
              <w:t>Что оценивается</w:t>
            </w:r>
          </w:p>
        </w:tc>
        <w:tc>
          <w:tcPr>
            <w:tcW w:type="dxa" w:w="1020"/>
            <w:vAlign w:val="center"/>
            <w:shd w:fill="0D0D0D"/>
            <w:tcMar>
              <w:top w:w="90" w:type="dxa"/>
              <w:start w:w="100" w:type="dxa"/>
              <w:bottom w:w="90" w:type="dxa"/>
              <w:end w:w="100" w:type="dxa"/>
            </w:tcMar>
          </w:tcPr>
          <w:p>
            <w:pPr>
              <w:widowControl/>
              <w:spacing w:after="0"/>
              <w:jc w:val="center"/>
            </w:pPr>
            <w:r>
              <w:rPr>
                <w:rFonts w:ascii="Arial" w:hAnsi="Arial"/>
                <w:b/>
                <w:color w:val="FFFFFF"/>
                <w:sz w:val="17"/>
              </w:rPr>
              <w:t>Вес</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Значимость задачи</w:t>
            </w:r>
          </w:p>
        </w:tc>
        <w:tc>
          <w:tcPr>
            <w:tcW w:type="dxa" w:w="5613"/>
            <w:vAlign w:val="top"/>
            <w:tcMar>
              <w:top w:w="90" w:type="dxa"/>
              <w:start w:w="100" w:type="dxa"/>
              <w:bottom w:w="90" w:type="dxa"/>
              <w:end w:w="100" w:type="dxa"/>
            </w:tcMar>
            <w:shd w:fill="F7F7F7"/>
          </w:tcPr>
          <w:p>
            <w:pPr>
              <w:widowControl/>
              <w:spacing w:after="0" w:line="240" w:lineRule="auto"/>
            </w:pPr>
            <w:r>
              <w:rPr>
                <w:rFonts w:ascii="Arial" w:hAnsi="Arial"/>
                <w:sz w:val="17"/>
              </w:rPr>
              <w:t>исходная проблема, масштаб и связь с приоритетами организации</w:t>
            </w:r>
          </w:p>
        </w:tc>
        <w:tc>
          <w:tcPr>
            <w:tcW w:type="dxa" w:w="1020"/>
            <w:vAlign w:val="top"/>
            <w:tcMar>
              <w:top w:w="90" w:type="dxa"/>
              <w:start w:w="100" w:type="dxa"/>
              <w:bottom w:w="90" w:type="dxa"/>
              <w:end w:w="100" w:type="dxa"/>
            </w:tcMar>
            <w:shd w:fill="F7F7F7"/>
          </w:tcPr>
          <w:p>
            <w:pPr>
              <w:widowControl/>
              <w:spacing w:after="0" w:line="240" w:lineRule="auto"/>
            </w:pPr>
            <w:r>
              <w:rPr>
                <w:rFonts w:ascii="Arial" w:hAnsi="Arial"/>
                <w:sz w:val="17"/>
              </w:rPr>
              <w:t>15%</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Качество решения</w:t>
            </w:r>
          </w:p>
        </w:tc>
        <w:tc>
          <w:tcPr>
            <w:tcW w:type="dxa" w:w="5613"/>
            <w:vAlign w:val="top"/>
            <w:tcMar>
              <w:top w:w="90" w:type="dxa"/>
              <w:start w:w="100" w:type="dxa"/>
              <w:bottom w:w="90" w:type="dxa"/>
              <w:end w:w="100" w:type="dxa"/>
            </w:tcMar>
            <w:shd w:fill="F3E9EC"/>
          </w:tcPr>
          <w:p>
            <w:pPr>
              <w:widowControl/>
              <w:spacing w:after="0" w:line="240" w:lineRule="auto"/>
            </w:pPr>
            <w:r>
              <w:rPr>
                <w:rFonts w:ascii="Arial" w:hAnsi="Arial"/>
                <w:sz w:val="17"/>
              </w:rPr>
              <w:t>логика, целостность, релевантность, новизна или качество адаптации</w:t>
            </w:r>
          </w:p>
        </w:tc>
        <w:tc>
          <w:tcPr>
            <w:tcW w:type="dxa" w:w="1020"/>
            <w:vAlign w:val="top"/>
            <w:tcMar>
              <w:top w:w="90" w:type="dxa"/>
              <w:start w:w="100" w:type="dxa"/>
              <w:bottom w:w="90" w:type="dxa"/>
              <w:end w:w="100" w:type="dxa"/>
            </w:tcMar>
            <w:shd w:fill="F3E9EC"/>
          </w:tcPr>
          <w:p>
            <w:pPr>
              <w:widowControl/>
              <w:spacing w:after="0" w:line="240" w:lineRule="auto"/>
            </w:pPr>
            <w:r>
              <w:rPr>
                <w:rFonts w:ascii="Arial" w:hAnsi="Arial"/>
                <w:sz w:val="17"/>
              </w:rPr>
              <w:t>15%</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Реализация</w:t>
            </w:r>
          </w:p>
        </w:tc>
        <w:tc>
          <w:tcPr>
            <w:tcW w:type="dxa" w:w="5613"/>
            <w:vAlign w:val="top"/>
            <w:tcMar>
              <w:top w:w="90" w:type="dxa"/>
              <w:start w:w="100" w:type="dxa"/>
              <w:bottom w:w="90" w:type="dxa"/>
              <w:end w:w="100" w:type="dxa"/>
            </w:tcMar>
            <w:shd w:fill="F7F7F7"/>
          </w:tcPr>
          <w:p>
            <w:pPr>
              <w:widowControl/>
              <w:spacing w:after="0" w:line="240" w:lineRule="auto"/>
            </w:pPr>
            <w:r>
              <w:rPr>
                <w:rFonts w:ascii="Arial" w:hAnsi="Arial"/>
                <w:sz w:val="17"/>
              </w:rPr>
              <w:t>управление этапами, ролями, ресурсами, изменениями и сложностями</w:t>
            </w:r>
          </w:p>
        </w:tc>
        <w:tc>
          <w:tcPr>
            <w:tcW w:type="dxa" w:w="1020"/>
            <w:vAlign w:val="top"/>
            <w:tcMar>
              <w:top w:w="90" w:type="dxa"/>
              <w:start w:w="100" w:type="dxa"/>
              <w:bottom w:w="90" w:type="dxa"/>
              <w:end w:w="100" w:type="dxa"/>
            </w:tcMar>
            <w:shd w:fill="F7F7F7"/>
          </w:tcPr>
          <w:p>
            <w:pPr>
              <w:widowControl/>
              <w:spacing w:after="0" w:line="240" w:lineRule="auto"/>
            </w:pPr>
            <w:r>
              <w:rPr>
                <w:rFonts w:ascii="Arial" w:hAnsi="Arial"/>
                <w:sz w:val="17"/>
              </w:rPr>
              <w:t>15%</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Результаты и бизнес-эффект</w:t>
            </w:r>
          </w:p>
        </w:tc>
        <w:tc>
          <w:tcPr>
            <w:tcW w:type="dxa" w:w="5613"/>
            <w:vAlign w:val="top"/>
            <w:tcMar>
              <w:top w:w="90" w:type="dxa"/>
              <w:start w:w="100" w:type="dxa"/>
              <w:bottom w:w="90" w:type="dxa"/>
              <w:end w:w="100" w:type="dxa"/>
            </w:tcMar>
            <w:shd w:fill="F3E9EC"/>
          </w:tcPr>
          <w:p>
            <w:pPr>
              <w:widowControl/>
              <w:spacing w:after="0" w:line="240" w:lineRule="auto"/>
            </w:pPr>
            <w:r>
              <w:rPr>
                <w:rFonts w:ascii="Arial" w:hAnsi="Arial"/>
                <w:sz w:val="17"/>
              </w:rPr>
              <w:t>динамика показателей, достижение цели, эффект для сотрудников и бизнеса</w:t>
            </w:r>
          </w:p>
        </w:tc>
        <w:tc>
          <w:tcPr>
            <w:tcW w:type="dxa" w:w="1020"/>
            <w:vAlign w:val="top"/>
            <w:tcMar>
              <w:top w:w="90" w:type="dxa"/>
              <w:start w:w="100" w:type="dxa"/>
              <w:bottom w:w="90" w:type="dxa"/>
              <w:end w:w="100" w:type="dxa"/>
            </w:tcMar>
            <w:shd w:fill="F3E9EC"/>
          </w:tcPr>
          <w:p>
            <w:pPr>
              <w:widowControl/>
              <w:spacing w:after="0" w:line="240" w:lineRule="auto"/>
            </w:pPr>
            <w:r>
              <w:rPr>
                <w:rFonts w:ascii="Arial" w:hAnsi="Arial"/>
                <w:sz w:val="17"/>
              </w:rPr>
              <w:t>30%</w:t>
            </w:r>
          </w:p>
        </w:tc>
      </w:tr>
      <w:tr>
        <w:trPr>
          <w:cantSplit/>
        </w:trPr>
        <w:tc>
          <w:tcPr>
            <w:tcW w:type="dxa" w:w="2268"/>
            <w:vAlign w:val="top"/>
            <w:tcMar>
              <w:top w:w="90" w:type="dxa"/>
              <w:start w:w="100" w:type="dxa"/>
              <w:bottom w:w="90" w:type="dxa"/>
              <w:end w:w="100" w:type="dxa"/>
            </w:tcMar>
            <w:shd w:fill="F7F7F7"/>
          </w:tcPr>
          <w:p>
            <w:pPr>
              <w:widowControl/>
              <w:spacing w:after="0" w:line="240" w:lineRule="auto"/>
            </w:pPr>
            <w:r>
              <w:rPr>
                <w:rFonts w:ascii="Arial" w:hAnsi="Arial"/>
                <w:sz w:val="17"/>
              </w:rPr>
              <w:t>Доказательность</w:t>
            </w:r>
          </w:p>
        </w:tc>
        <w:tc>
          <w:tcPr>
            <w:tcW w:type="dxa" w:w="5613"/>
            <w:vAlign w:val="top"/>
            <w:tcMar>
              <w:top w:w="90" w:type="dxa"/>
              <w:start w:w="100" w:type="dxa"/>
              <w:bottom w:w="90" w:type="dxa"/>
              <w:end w:w="100" w:type="dxa"/>
            </w:tcMar>
            <w:shd w:fill="F7F7F7"/>
          </w:tcPr>
          <w:p>
            <w:pPr>
              <w:widowControl/>
              <w:spacing w:after="0" w:line="240" w:lineRule="auto"/>
            </w:pPr>
            <w:r>
              <w:rPr>
                <w:rFonts w:ascii="Arial" w:hAnsi="Arial"/>
                <w:sz w:val="17"/>
              </w:rPr>
              <w:t>надежность источников, сопоставимость данных и обоснованность причинной связи</w:t>
            </w:r>
          </w:p>
        </w:tc>
        <w:tc>
          <w:tcPr>
            <w:tcW w:type="dxa" w:w="1020"/>
            <w:vAlign w:val="top"/>
            <w:tcMar>
              <w:top w:w="90" w:type="dxa"/>
              <w:start w:w="100" w:type="dxa"/>
              <w:bottom w:w="90" w:type="dxa"/>
              <w:end w:w="100" w:type="dxa"/>
            </w:tcMar>
            <w:shd w:fill="F7F7F7"/>
          </w:tcPr>
          <w:p>
            <w:pPr>
              <w:widowControl/>
              <w:spacing w:after="0" w:line="240" w:lineRule="auto"/>
            </w:pPr>
            <w:r>
              <w:rPr>
                <w:rFonts w:ascii="Arial" w:hAnsi="Arial"/>
                <w:sz w:val="17"/>
              </w:rPr>
              <w:t>15%</w:t>
            </w:r>
          </w:p>
        </w:tc>
      </w:tr>
      <w:tr>
        <w:trPr>
          <w:cantSplit/>
        </w:trPr>
        <w:tc>
          <w:tcPr>
            <w:tcW w:type="dxa" w:w="2268"/>
            <w:vAlign w:val="top"/>
            <w:tcMar>
              <w:top w:w="90" w:type="dxa"/>
              <w:start w:w="100" w:type="dxa"/>
              <w:bottom w:w="90" w:type="dxa"/>
              <w:end w:w="100" w:type="dxa"/>
            </w:tcMar>
            <w:shd w:fill="F3E9EC"/>
          </w:tcPr>
          <w:p>
            <w:pPr>
              <w:widowControl/>
              <w:spacing w:after="0" w:line="240" w:lineRule="auto"/>
            </w:pPr>
            <w:r>
              <w:rPr>
                <w:rFonts w:ascii="Arial" w:hAnsi="Arial"/>
                <w:sz w:val="17"/>
              </w:rPr>
              <w:t>Устойчивость и масштабирование</w:t>
            </w:r>
          </w:p>
        </w:tc>
        <w:tc>
          <w:tcPr>
            <w:tcW w:type="dxa" w:w="5613"/>
            <w:vAlign w:val="top"/>
            <w:tcMar>
              <w:top w:w="90" w:type="dxa"/>
              <w:start w:w="100" w:type="dxa"/>
              <w:bottom w:w="90" w:type="dxa"/>
              <w:end w:w="100" w:type="dxa"/>
            </w:tcMar>
            <w:shd w:fill="F3E9EC"/>
          </w:tcPr>
          <w:p>
            <w:pPr>
              <w:widowControl/>
              <w:spacing w:after="0" w:line="240" w:lineRule="auto"/>
            </w:pPr>
            <w:r>
              <w:rPr>
                <w:rFonts w:ascii="Arial" w:hAnsi="Arial"/>
                <w:sz w:val="17"/>
              </w:rPr>
              <w:t>владелец, поддержка, развитие и переносимость решения</w:t>
            </w:r>
          </w:p>
        </w:tc>
        <w:tc>
          <w:tcPr>
            <w:tcW w:type="dxa" w:w="1020"/>
            <w:vAlign w:val="top"/>
            <w:tcMar>
              <w:top w:w="90" w:type="dxa"/>
              <w:start w:w="100" w:type="dxa"/>
              <w:bottom w:w="90" w:type="dxa"/>
              <w:end w:w="100" w:type="dxa"/>
            </w:tcMar>
            <w:shd w:fill="F3E9EC"/>
          </w:tcPr>
          <w:p>
            <w:pPr>
              <w:widowControl/>
              <w:spacing w:after="0" w:line="240" w:lineRule="auto"/>
            </w:pPr>
            <w:r>
              <w:rPr>
                <w:rFonts w:ascii="Arial" w:hAnsi="Arial"/>
                <w:sz w:val="17"/>
              </w:rPr>
              <w:t>10%</w:t>
            </w:r>
          </w:p>
        </w:tc>
      </w:tr>
    </w:tbl>
    <w:p>
      <w:pPr>
        <w:spacing w:after="0"/>
      </w:pPr>
    </w:p>
    <w:p>
      <w:pPr>
        <w:spacing w:after="84" w:line="252" w:lineRule="auto"/>
        <w:ind w:left="499" w:hanging="499"/>
      </w:pPr>
      <w:r>
        <w:rPr>
          <w:b/>
        </w:rPr>
        <w:t xml:space="preserve">10.4. </w:t>
      </w:r>
      <w:r>
        <w:t>По каждой анкете рассчитывается средняя оценка экспертов по каждому критерию, затем — взвешенная оценка проекта по пункту 10.3. Полученный результат нормируется до максимума 80 баллов.</w:t>
      </w:r>
    </w:p>
    <w:p>
      <w:pPr>
        <w:spacing w:after="84" w:line="252" w:lineRule="auto"/>
        <w:ind w:left="499" w:hanging="499"/>
      </w:pPr>
      <w:r>
        <w:rPr>
          <w:b/>
        </w:rPr>
        <w:t xml:space="preserve">10.5. </w:t>
      </w:r>
      <w:r>
        <w:t>Бонус по номинации рассчитывается по данным самооценки, но может быть подтвержден проверкой указанных источников. Если подтверждение отсутствует, противоречит проектным данным или содержит недостоверные сведения, Организационный комитет вправе не учитывать соответствующий критерий после запроса пояснений.</w:t>
      </w:r>
    </w:p>
    <w:p>
      <w:pPr>
        <w:spacing w:after="84" w:line="252" w:lineRule="auto"/>
        <w:ind w:left="499" w:hanging="499"/>
      </w:pPr>
      <w:r>
        <w:rPr>
          <w:b/>
        </w:rPr>
        <w:t xml:space="preserve">10.6. </w:t>
      </w:r>
      <w:r>
        <w:t>Эксперты и Организатор не начисляют дополнительные баллы за размер организации, выручку, форму собственности, географию, известность бренда, величину бюджета, наличие внешних наград или использование конкретного поставщика технологии.</w:t>
      </w:r>
    </w:p>
    <w:p>
      <w:pPr>
        <w:spacing w:after="84" w:line="252" w:lineRule="auto"/>
        <w:ind w:left="499" w:hanging="499"/>
      </w:pPr>
      <w:r>
        <w:rPr>
          <w:b/>
        </w:rPr>
        <w:t xml:space="preserve">10.7. </w:t>
      </w:r>
      <w:r>
        <w:t>Эксперт оценивает качество решения относительно заявленной задачи, целевой аудитории и доступного контекста. Большой охват или бюджет учитывается только как обстоятельство сложности и не является самостоятельным преимуществом.</w:t>
      </w:r>
    </w:p>
    <w:p>
      <w:pPr>
        <w:pStyle w:val="Heading1"/>
        <w:pBdr>
          <w:bottom w:val="single" w:sz="6" w:space="3" w:color="D9D9D9"/>
        </w:pBdr>
      </w:pPr>
      <w:r>
        <w:rPr>
          <w:b/>
          <w:color w:val="8A3B52"/>
        </w:rPr>
        <w:t xml:space="preserve">11. </w:t>
      </w:r>
      <w:r>
        <w:rPr>
          <w:b/>
          <w:color w:val="0D0D0D"/>
        </w:rPr>
        <w:t>ПОДСЧЕТ РЕЗУЛЬТАТОВ И ОПРЕДЕЛЕНИЕ ПОБЕДИТЕЛЕЙ</w:t>
      </w:r>
    </w:p>
    <w:p>
      <w:pPr>
        <w:spacing w:after="84" w:line="252" w:lineRule="auto"/>
        <w:ind w:left="499" w:hanging="499"/>
      </w:pPr>
      <w:r>
        <w:rPr>
          <w:b/>
        </w:rPr>
        <w:t xml:space="preserve">11.1. </w:t>
      </w:r>
      <w:r>
        <w:t>Итоговый балл Номинанта равен сумме нормированного балла за HR-департамент, нормированного балла за проект и подтвержденного бонуса по выбранной номинации.</w:t>
      </w:r>
    </w:p>
    <w:p>
      <w:pPr>
        <w:spacing w:after="84" w:line="252" w:lineRule="auto"/>
        <w:ind w:left="499" w:hanging="499"/>
      </w:pPr>
      <w:r>
        <w:rPr>
          <w:b/>
        </w:rPr>
        <w:t xml:space="preserve">11.2. </w:t>
      </w:r>
      <w:r>
        <w:t>Победителем в номинации или заранее объявленной подкатегории становится Номинант с наибольшим итоговым баллом при условии соблюдения настоящего Положения.</w:t>
      </w:r>
    </w:p>
    <w:p>
      <w:pPr>
        <w:spacing w:after="84" w:line="252" w:lineRule="auto"/>
        <w:ind w:left="499" w:hanging="499"/>
      </w:pPr>
      <w:r>
        <w:rPr>
          <w:b/>
        </w:rPr>
        <w:t xml:space="preserve">11.3. </w:t>
      </w:r>
      <w:r>
        <w:t>При равенстве итоговых баллов преимущество последовательно получает Номинант с более высоким баллом: сначала за проект в целом, затем за критерий «Результаты и бизнес-эффект», затем за критерий «Доказательность». Если равенство сохраняется, Председатель назначает дополнительную обезличенную оценку не менее чем двумя экспертами, ранее не оценивавшими эти анкеты.</w:t>
      </w:r>
    </w:p>
    <w:p>
      <w:pPr>
        <w:spacing w:after="84" w:line="252" w:lineRule="auto"/>
        <w:ind w:left="499" w:hanging="499"/>
      </w:pPr>
      <w:r>
        <w:rPr>
          <w:b/>
        </w:rPr>
        <w:t xml:space="preserve">11.4. </w:t>
      </w:r>
      <w:r>
        <w:t>Победитель не определяется, если к экспертной оценке в соответствующей номинации или объявленной подкатегории допущено менее трех Номинантов. Организатор вправе вручить специальное упоминание без статуса победителя основного конкурса.</w:t>
      </w:r>
    </w:p>
    <w:p>
      <w:pPr>
        <w:spacing w:after="84" w:line="252" w:lineRule="auto"/>
        <w:ind w:left="499" w:hanging="499"/>
      </w:pPr>
      <w:r>
        <w:rPr>
          <w:b/>
        </w:rPr>
        <w:t xml:space="preserve">11.5. </w:t>
      </w:r>
      <w:r>
        <w:t>Нулевая оценка по отдельному критерию сама по себе не является основанием для исключения. Исключение допускается только по основаниям пункта 6.9 либо при невозможности рассчитать итог из-за отсутствия обязательных данных.</w:t>
      </w:r>
    </w:p>
    <w:p>
      <w:pPr>
        <w:spacing w:after="84" w:line="252" w:lineRule="auto"/>
        <w:ind w:left="499" w:hanging="499"/>
      </w:pPr>
      <w:r>
        <w:rPr>
          <w:b/>
        </w:rPr>
        <w:t xml:space="preserve">11.6. </w:t>
      </w:r>
      <w:r>
        <w:t>Итоги фиксируются протоколом Организационного комитета и утверждаются Председателем. До официального объявления сведения о местах и баллах являются конфиденциальными.</w:t>
      </w:r>
    </w:p>
    <w:p>
      <w:pPr>
        <w:spacing w:after="84" w:line="252" w:lineRule="auto"/>
        <w:ind w:left="499" w:hanging="499"/>
      </w:pPr>
      <w:r>
        <w:rPr>
          <w:b/>
        </w:rPr>
        <w:t xml:space="preserve">11.7. </w:t>
      </w:r>
      <w:r>
        <w:t>В течение пяти рабочих дней после публикации результатов Номинант может сообщить Организатору о предполагаемой технической, арифметической или процедурной ошибке. Содержательное профессиональное суждение эксперта пересмотру не подлежит, если шкала и критерии применены надлежащим образом.</w:t>
      </w:r>
    </w:p>
    <w:p>
      <w:pPr>
        <w:pStyle w:val="Heading1"/>
        <w:pBdr>
          <w:bottom w:val="single" w:sz="6" w:space="3" w:color="D9D9D9"/>
        </w:pBdr>
      </w:pPr>
      <w:r>
        <w:rPr>
          <w:b/>
          <w:color w:val="8A3B52"/>
        </w:rPr>
        <w:t xml:space="preserve">12. </w:t>
      </w:r>
      <w:r>
        <w:rPr>
          <w:b/>
          <w:color w:val="0D0D0D"/>
        </w:rPr>
        <w:t>ЦЕРЕМОНИЯ НАГРАЖДЕНИЯ</w:t>
      </w:r>
    </w:p>
    <w:p>
      <w:pPr>
        <w:spacing w:after="84" w:line="252" w:lineRule="auto"/>
        <w:ind w:left="499" w:hanging="499"/>
      </w:pPr>
      <w:r>
        <w:rPr>
          <w:b/>
        </w:rPr>
        <w:t xml:space="preserve">12.1. </w:t>
      </w:r>
      <w:r>
        <w:t>Дата, место и формат церемонии публикуются на Сайте и могут дополнительно сообщаться представителям Номинантов по электронной почте.</w:t>
      </w:r>
    </w:p>
    <w:p>
      <w:pPr>
        <w:spacing w:after="84" w:line="252" w:lineRule="auto"/>
        <w:ind w:left="499" w:hanging="499"/>
      </w:pPr>
      <w:r>
        <w:rPr>
          <w:b/>
        </w:rPr>
        <w:t xml:space="preserve">12.2. </w:t>
      </w:r>
      <w:r>
        <w:t>Неявка Номинанта или его представителя на церемонию не лишает Номинанта победы и не изменяет результаты конкурса. Организатор согласовывает способ последующей передачи награды.</w:t>
      </w:r>
    </w:p>
    <w:p>
      <w:pPr>
        <w:spacing w:after="84" w:line="252" w:lineRule="auto"/>
        <w:ind w:left="499" w:hanging="499"/>
      </w:pPr>
      <w:r>
        <w:rPr>
          <w:b/>
        </w:rPr>
        <w:t xml:space="preserve">12.3. </w:t>
      </w:r>
      <w:r>
        <w:t>Если Организатор предоставляет бесплатное приглашение, его количество и порядок оформления сообщаются Номинанту. Участие дополнительных гостей может быть платным.</w:t>
      </w:r>
    </w:p>
    <w:p>
      <w:pPr>
        <w:spacing w:after="84" w:line="252" w:lineRule="auto"/>
        <w:ind w:left="499" w:hanging="499"/>
      </w:pPr>
      <w:r>
        <w:rPr>
          <w:b/>
        </w:rPr>
        <w:t xml:space="preserve">12.4. </w:t>
      </w:r>
      <w:r>
        <w:t>Расходы на проезд, проживание и иные сопутствующие расходы представители Номинантов несут самостоятельно, если Организатор письменно не сообщил иное.</w:t>
      </w:r>
    </w:p>
    <w:p>
      <w:pPr>
        <w:pStyle w:val="Heading1"/>
        <w:pBdr>
          <w:bottom w:val="single" w:sz="6" w:space="3" w:color="D9D9D9"/>
        </w:pBdr>
      </w:pPr>
      <w:r>
        <w:rPr>
          <w:b/>
          <w:color w:val="8A3B52"/>
        </w:rPr>
        <w:t xml:space="preserve">13. </w:t>
      </w:r>
      <w:r>
        <w:rPr>
          <w:b/>
          <w:color w:val="0D0D0D"/>
        </w:rPr>
        <w:t>ПУБЛИКАЦИЯ, КОНФИДЕНЦИАЛЬНОСТЬ И ПРАВА НА МАТЕРИАЛЫ</w:t>
      </w:r>
    </w:p>
    <w:p>
      <w:pPr>
        <w:spacing w:after="84" w:line="252" w:lineRule="auto"/>
        <w:ind w:left="499" w:hanging="499"/>
      </w:pPr>
      <w:r>
        <w:rPr>
          <w:b/>
        </w:rPr>
        <w:t xml:space="preserve">13.1. </w:t>
      </w:r>
      <w:r>
        <w:t>Факт допуска, наименование Номинанта, выбранная номинация и результат могут быть опубликованы на Сайте и в материалах Премии в объеме, согласованном при подаче заявки и не противоречащем законодательству.</w:t>
      </w:r>
    </w:p>
    <w:p>
      <w:pPr>
        <w:spacing w:after="84" w:line="252" w:lineRule="auto"/>
        <w:ind w:left="499" w:hanging="499"/>
      </w:pPr>
      <w:r>
        <w:rPr>
          <w:b/>
        </w:rPr>
        <w:t xml:space="preserve">13.2. </w:t>
      </w:r>
      <w:r>
        <w:t>В анкете Участник выбирает один режим использования сведений о проекте:</w:t>
      </w:r>
    </w:p>
    <w:p>
      <w:pPr>
        <w:spacing w:after="50"/>
        <w:ind w:left="652" w:hanging="238"/>
      </w:pPr>
      <w:r>
        <w:rPr>
          <w:b/>
        </w:rPr>
        <w:t xml:space="preserve">— </w:t>
      </w:r>
      <w:r>
        <w:t>можно публиковать без дополнительного согласования;</w:t>
      </w:r>
    </w:p>
    <w:p>
      <w:pPr>
        <w:spacing w:after="50"/>
        <w:ind w:left="652" w:hanging="238"/>
      </w:pPr>
      <w:r>
        <w:rPr>
          <w:b/>
        </w:rPr>
        <w:t xml:space="preserve">— </w:t>
      </w:r>
      <w:r>
        <w:t>публикация допускается только после согласования текста с Участником;</w:t>
      </w:r>
    </w:p>
    <w:p>
      <w:pPr>
        <w:spacing w:after="50"/>
        <w:ind w:left="652" w:hanging="238"/>
      </w:pPr>
      <w:r>
        <w:rPr>
          <w:b/>
        </w:rPr>
        <w:t xml:space="preserve">— </w:t>
      </w:r>
      <w:r>
        <w:t>можно публиковать только обезличенные результаты;</w:t>
      </w:r>
    </w:p>
    <w:p>
      <w:pPr>
        <w:spacing w:after="50"/>
        <w:ind w:left="652" w:hanging="238"/>
      </w:pPr>
      <w:r>
        <w:rPr>
          <w:b/>
        </w:rPr>
        <w:t xml:space="preserve">— </w:t>
      </w:r>
      <w:r>
        <w:t>публикация проекта не разрешена.</w:t>
      </w:r>
    </w:p>
    <w:p>
      <w:pPr>
        <w:spacing w:after="84" w:line="252" w:lineRule="auto"/>
        <w:ind w:left="499" w:hanging="499"/>
      </w:pPr>
      <w:r>
        <w:rPr>
          <w:b/>
        </w:rPr>
        <w:t xml:space="preserve">13.3. </w:t>
      </w:r>
      <w:r>
        <w:t>Выбранный режим публикации не влияет на конкурсную оценку. Доступ Организационного комитета и Экспертного совета к материалам для проведения Премии не считается публичным раскрытием.</w:t>
      </w:r>
    </w:p>
    <w:p>
      <w:pPr>
        <w:spacing w:after="84" w:line="252" w:lineRule="auto"/>
        <w:ind w:left="499" w:hanging="499"/>
      </w:pPr>
      <w:r>
        <w:rPr>
          <w:b/>
        </w:rPr>
        <w:t xml:space="preserve">13.4. </w:t>
      </w:r>
      <w:r>
        <w:t>Организатор вправе редактировать разрешенные к публикации материалы по объему, стилю и формату без искажения фактов и смысла. Если выбран режим предварительного согласования, материал не публикуется до получения согласия Участника.</w:t>
      </w:r>
    </w:p>
    <w:p>
      <w:pPr>
        <w:spacing w:after="84" w:line="252" w:lineRule="auto"/>
        <w:ind w:left="499" w:hanging="499"/>
      </w:pPr>
      <w:r>
        <w:rPr>
          <w:b/>
        </w:rPr>
        <w:t xml:space="preserve">13.5. </w:t>
      </w:r>
      <w:r>
        <w:t>Участник гарантирует, что обладает необходимыми правами на переданные тексты, изображения, логотипы, таблицы и иные объекты и что их использование Организатором в пределах выбранного режима не нарушает права третьих лиц.</w:t>
      </w:r>
    </w:p>
    <w:p>
      <w:pPr>
        <w:spacing w:after="84" w:line="252" w:lineRule="auto"/>
        <w:ind w:left="499" w:hanging="499"/>
      </w:pPr>
      <w:r>
        <w:rPr>
          <w:b/>
        </w:rPr>
        <w:t xml:space="preserve">13.6. </w:t>
      </w:r>
      <w:r>
        <w:t>Организатор и эксперты используют непубличные материалы только для организации, оценки, проверки и архивирования результатов Премии и принимают разумные меры для сохранения их конфиденциальности.</w:t>
      </w:r>
    </w:p>
    <w:p>
      <w:pPr>
        <w:spacing w:after="84" w:line="252" w:lineRule="auto"/>
        <w:ind w:left="499" w:hanging="499"/>
      </w:pPr>
      <w:r>
        <w:rPr>
          <w:b/>
        </w:rPr>
        <w:t xml:space="preserve">13.7. </w:t>
      </w:r>
      <w:r>
        <w:t>Персональные данные заявителей и представителей Номинантов обрабатываются в целях проведения Премии на основаниях и в порядке, предусмотренных законодательством Российской Федерации и политикой Организатора. Публикация персональных данных и изображений граждан осуществляется при наличии отдельного согласия либо иного законного основания.</w:t>
      </w:r>
    </w:p>
    <w:p>
      <w:pPr>
        <w:spacing w:after="84" w:line="252" w:lineRule="auto"/>
        <w:ind w:left="499" w:hanging="499"/>
      </w:pPr>
      <w:r>
        <w:rPr>
          <w:b/>
        </w:rPr>
        <w:t xml:space="preserve">13.8. </w:t>
      </w:r>
      <w:r>
        <w:t>Лицо, подающее материалы с персональными данными других граждан, обязано иметь законное основание для их передачи Организатору. По запросу Организатора такое основание должно быть подтверждено.</w:t>
      </w:r>
    </w:p>
    <w:p>
      <w:pPr>
        <w:pStyle w:val="Heading1"/>
        <w:pBdr>
          <w:bottom w:val="single" w:sz="6" w:space="3" w:color="D9D9D9"/>
        </w:pBdr>
      </w:pPr>
      <w:r>
        <w:rPr>
          <w:b/>
          <w:color w:val="8A3B52"/>
        </w:rPr>
        <w:t xml:space="preserve">14. </w:t>
      </w:r>
      <w:r>
        <w:rPr>
          <w:b/>
          <w:color w:val="0D0D0D"/>
        </w:rPr>
        <w:t>ЗАКЛЮЧИТЕЛЬНЫЕ ПОЛОЖЕНИЯ</w:t>
      </w:r>
    </w:p>
    <w:p>
      <w:pPr>
        <w:spacing w:after="84" w:line="252" w:lineRule="auto"/>
        <w:ind w:left="499" w:hanging="499"/>
      </w:pPr>
      <w:r>
        <w:rPr>
          <w:b/>
        </w:rPr>
        <w:t xml:space="preserve">14.1. </w:t>
      </w:r>
      <w:r>
        <w:t>Настоящее Положение вступает в силу с даты публикации на Сайте и действует до утверждения новой редакции.</w:t>
      </w:r>
    </w:p>
    <w:p>
      <w:pPr>
        <w:spacing w:after="84" w:line="252" w:lineRule="auto"/>
        <w:ind w:left="499" w:hanging="499"/>
      </w:pPr>
      <w:r>
        <w:rPr>
          <w:b/>
        </w:rPr>
        <w:t xml:space="preserve">14.2. </w:t>
      </w:r>
      <w:r>
        <w:t>Организатор вправе изменить условия или отменить публичный конкурс только в течение первой половины срока, установленного для представления конкурсных работ, и публикует извещение тем же способом, которым Премия была объявлена. Последствия изменения или отмены определяются законодательством Российской Федерации.</w:t>
      </w:r>
    </w:p>
    <w:p>
      <w:pPr>
        <w:spacing w:after="84" w:line="252" w:lineRule="auto"/>
        <w:ind w:left="499" w:hanging="499"/>
      </w:pPr>
      <w:r>
        <w:rPr>
          <w:b/>
        </w:rPr>
        <w:t xml:space="preserve">14.3. </w:t>
      </w:r>
      <w:r>
        <w:t>Организатор вправе публиковать разъяснения, которые не меняют состав участников, критерии, веса, порядок определения победителей и иные существенные условия. Разъяснения применяются одинаково ко всем Участникам.</w:t>
      </w:r>
    </w:p>
    <w:p>
      <w:pPr>
        <w:spacing w:after="84" w:line="252" w:lineRule="auto"/>
        <w:ind w:left="499" w:hanging="499"/>
      </w:pPr>
      <w:r>
        <w:rPr>
          <w:b/>
        </w:rPr>
        <w:t xml:space="preserve">14.4. </w:t>
      </w:r>
      <w:r>
        <w:t>При технической невозможности провести отдельный этап в объявленный срок Организатор вправе перенести дату, уведомив Участников через Сайт и доступные контактные каналы. Перенос не может сокращать уже предоставленный срок подачи материалов без равноценной возможности завершить подачу.</w:t>
      </w:r>
    </w:p>
    <w:p>
      <w:pPr>
        <w:spacing w:after="84" w:line="252" w:lineRule="auto"/>
        <w:ind w:left="499" w:hanging="499"/>
      </w:pPr>
      <w:r>
        <w:rPr>
          <w:b/>
        </w:rPr>
        <w:t xml:space="preserve">14.5. </w:t>
      </w:r>
      <w:r>
        <w:t>Во всем, что не урегулировано Положением, применяются законодательство Российской Федерации и решения Организационного комитета, не противоречащие опубликованным условиям Премии.</w:t>
      </w:r>
    </w:p>
    <w:p>
      <w:pPr>
        <w:spacing w:after="84" w:line="252" w:lineRule="auto"/>
        <w:ind w:left="499" w:hanging="499"/>
      </w:pPr>
      <w:r>
        <w:rPr>
          <w:b/>
        </w:rPr>
        <w:t xml:space="preserve">14.6. </w:t>
      </w:r>
      <w:r>
        <w:t>Если информация на Сайте или в интерфейсе анкеты противоречит настоящему Положению, применяется Положение; сведения о конкретных датах, адресе и техническом способе подачи применяются в актуальной редакции, опубликованной на Сайте.</w:t>
      </w:r>
    </w:p>
    <w:sectPr w:rsidR="00FC693F" w:rsidRPr="0006063C" w:rsidSect="00034616">
      <w:headerReference w:type="default" r:id="rId9"/>
      <w:footerReference w:type="default" r:id="rId10"/>
      <w:pgSz w:w="11906" w:h="16838"/>
      <w:pgMar w:top="1077" w:right="1134" w:bottom="1020" w:left="1276"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999999"/>
        <w:sz w:val="16"/>
      </w:rPr>
      <w:t xml:space="preserve">ACTION HR AWARDS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8" w:space="3" w:color="8A3B52"/>
      </w:pBdr>
    </w:pPr>
    <w:r>
      <w:rPr>
        <w:rFonts w:ascii="Arial" w:hAnsi="Arial"/>
        <w:b/>
        <w:color w:val="8A3B52"/>
        <w:sz w:val="16"/>
      </w:rPr>
      <w:t>HR  /  ПРЕМИЯ «ЛУЧШИЕ HR-ДЕПАРТАМЕНТЫ»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4" w:line="252" w:lineRule="auto"/>
    </w:pPr>
    <w:rPr>
      <w:rFonts w:ascii="Arial" w:hAnsi="Arial" w:eastAsia="Arial"/>
      <w:color w:val="2626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jc w:val="left"/>
      <w:outlineLvl w:val="0"/>
    </w:pPr>
    <w:rPr>
      <w:rFonts w:asciiTheme="majorHAnsi" w:eastAsiaTheme="majorEastAsia" w:hAnsiTheme="majorHAnsi" w:cstheme="majorBidi" w:ascii="Arial" w:hAnsi="Arial" w:eastAsia="Arial"/>
      <w:b/>
      <w:bCs/>
      <w:color w:val="1D1D1D"/>
      <w:sz w:val="29"/>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eastAsia="Arial"/>
      <w:b/>
      <w:bCs/>
      <w:color w:val="1D1D1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20" w:line="240" w:lineRule="auto" w:before="0"/>
      <w:contextualSpacing/>
      <w:jc w:val="left"/>
    </w:pPr>
    <w:rPr>
      <w:rFonts w:asciiTheme="majorHAnsi" w:eastAsiaTheme="majorEastAsia" w:hAnsiTheme="majorHAnsi" w:cstheme="majorBidi" w:ascii="Arial" w:hAnsi="Arial" w:eastAsia="Arial"/>
      <w:b/>
      <w:color w:val="1D1D1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Премии «Лучшие HR-департаменты»</dc:title>
  <dc:subject>Обновленная редакция с учетом методики анкеты 2026 года</dc:subject>
  <dc:creator>Организатор Премии «Лучшие HR-департаменты»</dc:creator>
  <cp:keywords>HR, премия, положение, конкурс, оценка</cp:keywords>
  <dc:description>generated by python-docx</dc:description>
  <cp:lastModifiedBy/>
  <cp:revision>1</cp:revision>
  <dcterms:created xsi:type="dcterms:W3CDTF">2013-12-23T23:15:00Z</dcterms:created>
  <dcterms:modified xsi:type="dcterms:W3CDTF">2013-12-23T23:15:00Z</dcterms:modified>
  <cp:category/>
</cp:coreProperties>
</file>